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65C" w:rsidRDefault="0030365C">
      <w:r>
        <w:tab/>
      </w:r>
    </w:p>
    <w:p w:rsidR="0030365C" w:rsidRPr="00AD28D1" w:rsidRDefault="0030365C" w:rsidP="0030365C">
      <w:pPr>
        <w:rPr>
          <w:rFonts w:ascii="Arial" w:hAnsi="Arial" w:cs="Arial"/>
          <w:b/>
          <w:bCs/>
          <w:lang w:val="de-DE"/>
        </w:rPr>
      </w:pPr>
    </w:p>
    <w:p w:rsidR="0030365C" w:rsidRDefault="0030365C" w:rsidP="0030365C">
      <w:pPr>
        <w:rPr>
          <w:rFonts w:ascii="Arial" w:hAnsi="Arial" w:cs="Arial"/>
          <w:b/>
          <w:bCs/>
        </w:rPr>
      </w:pPr>
    </w:p>
    <w:tbl>
      <w:tblPr>
        <w:tblW w:w="1203" w:type="dxa"/>
        <w:tblInd w:w="6300" w:type="dxa"/>
        <w:tblCellMar>
          <w:left w:w="0" w:type="dxa"/>
          <w:right w:w="0" w:type="dxa"/>
        </w:tblCellMar>
        <w:tblLook w:val="0000"/>
      </w:tblPr>
      <w:tblGrid>
        <w:gridCol w:w="1219"/>
      </w:tblGrid>
      <w:tr w:rsidR="0030365C" w:rsidTr="0030365C">
        <w:trPr>
          <w:trHeight w:val="720"/>
        </w:trPr>
        <w:tc>
          <w:tcPr>
            <w:tcW w:w="1203" w:type="dxa"/>
            <w:tcBorders>
              <w:top w:val="nil"/>
              <w:left w:val="nil"/>
              <w:bottom w:val="nil"/>
              <w:right w:val="nil"/>
            </w:tcBorders>
            <w:noWrap/>
            <w:vAlign w:val="center"/>
          </w:tcPr>
          <w:p w:rsidR="0030365C" w:rsidRDefault="0030365C" w:rsidP="00DA3A76">
            <w:pPr>
              <w:jc w:val="center"/>
              <w:rPr>
                <w:rFonts w:ascii="Arial" w:eastAsia="Arial Unicode MS" w:hAnsi="Arial" w:cs="Arial"/>
                <w:sz w:val="40"/>
                <w:szCs w:val="40"/>
              </w:rPr>
            </w:pPr>
            <w:r>
              <w:rPr>
                <w:rFonts w:ascii="Arial" w:hAnsi="Arial" w:cs="Arial"/>
                <w:b/>
                <w:bCs/>
                <w:noProof/>
                <w:sz w:val="20"/>
                <w:lang w:val="de-DE" w:eastAsia="de-DE"/>
              </w:rPr>
              <w:drawing>
                <wp:anchor distT="0" distB="0" distL="114300" distR="114300" simplePos="0" relativeHeight="251659264" behindDoc="0" locked="0" layoutInCell="1" allowOverlap="1">
                  <wp:simplePos x="0" y="0"/>
                  <wp:positionH relativeFrom="column">
                    <wp:posOffset>-2057400</wp:posOffset>
                  </wp:positionH>
                  <wp:positionV relativeFrom="paragraph">
                    <wp:posOffset>-571500</wp:posOffset>
                  </wp:positionV>
                  <wp:extent cx="2057400" cy="64770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057400" cy="647700"/>
                          </a:xfrm>
                          <a:prstGeom prst="rect">
                            <a:avLst/>
                          </a:prstGeom>
                          <a:noFill/>
                        </pic:spPr>
                      </pic:pic>
                    </a:graphicData>
                  </a:graphic>
                </wp:anchor>
              </w:drawing>
            </w:r>
            <w:r>
              <w:rPr>
                <w:rFonts w:ascii="Arial" w:hAnsi="Arial" w:cs="Arial"/>
                <w:sz w:val="40"/>
                <w:szCs w:val="40"/>
              </w:rPr>
              <w:t>GmbH</w:t>
            </w:r>
          </w:p>
        </w:tc>
      </w:tr>
    </w:tbl>
    <w:p w:rsidR="0030365C" w:rsidRDefault="0030365C"/>
    <w:p w:rsidR="0030365C" w:rsidRDefault="0030365C"/>
    <w:p w:rsidR="0030365C" w:rsidRDefault="0030365C"/>
    <w:p w:rsidR="00DF0C15" w:rsidRPr="0030365C" w:rsidRDefault="0030365C">
      <w:pPr>
        <w:rPr>
          <w:b/>
          <w:sz w:val="28"/>
          <w:szCs w:val="28"/>
        </w:rPr>
      </w:pPr>
      <w:r w:rsidRPr="0030365C">
        <w:rPr>
          <w:b/>
          <w:sz w:val="28"/>
          <w:szCs w:val="28"/>
        </w:rPr>
        <w:tab/>
      </w:r>
      <w:r w:rsidRPr="0030365C">
        <w:rPr>
          <w:b/>
          <w:sz w:val="28"/>
          <w:szCs w:val="28"/>
        </w:rPr>
        <w:tab/>
      </w:r>
      <w:r w:rsidRPr="0030365C">
        <w:rPr>
          <w:b/>
          <w:sz w:val="28"/>
          <w:szCs w:val="28"/>
        </w:rPr>
        <w:tab/>
      </w:r>
      <w:r w:rsidRPr="0030365C">
        <w:rPr>
          <w:b/>
          <w:sz w:val="28"/>
          <w:szCs w:val="28"/>
        </w:rPr>
        <w:tab/>
        <w:t>TEXTES DE PRESCRIPTION</w:t>
      </w:r>
    </w:p>
    <w:p w:rsidR="0030365C" w:rsidRDefault="0030365C"/>
    <w:p w:rsidR="0030365C" w:rsidRDefault="0030365C"/>
    <w:p w:rsidR="0030365C" w:rsidRDefault="0030365C"/>
    <w:p w:rsidR="0030365C" w:rsidRDefault="0030365C"/>
    <w:p w:rsidR="0030365C" w:rsidRDefault="00EA653B" w:rsidP="00474896">
      <w:pPr>
        <w:pStyle w:val="Listenabsatz"/>
        <w:numPr>
          <w:ilvl w:val="0"/>
          <w:numId w:val="2"/>
        </w:numPr>
        <w:spacing w:after="120" w:line="360" w:lineRule="auto"/>
        <w:ind w:left="714" w:hanging="357"/>
      </w:pPr>
      <w:r>
        <w:t>CUNETTE EN POLYPROPYLENE OU EN PRV</w:t>
      </w:r>
    </w:p>
    <w:p w:rsidR="00EA653B" w:rsidRDefault="00EA653B" w:rsidP="00474896">
      <w:pPr>
        <w:pStyle w:val="Listenabsatz"/>
        <w:numPr>
          <w:ilvl w:val="0"/>
          <w:numId w:val="2"/>
        </w:numPr>
        <w:spacing w:after="120" w:line="360" w:lineRule="auto"/>
        <w:ind w:left="714" w:hanging="357"/>
      </w:pPr>
      <w:r>
        <w:t>REVETEMENT CORPROTECT</w:t>
      </w:r>
    </w:p>
    <w:p w:rsidR="00EA653B" w:rsidRDefault="00EA653B" w:rsidP="00474896">
      <w:pPr>
        <w:pStyle w:val="Listenabsatz"/>
        <w:numPr>
          <w:ilvl w:val="0"/>
          <w:numId w:val="2"/>
        </w:numPr>
        <w:spacing w:after="120" w:line="360" w:lineRule="auto"/>
        <w:ind w:left="714" w:hanging="357"/>
      </w:pPr>
      <w:r>
        <w:t>REHABILITATION DE REGARDS DE VISITE</w:t>
      </w:r>
    </w:p>
    <w:p w:rsidR="00EA653B" w:rsidRDefault="00EA653B" w:rsidP="00474896">
      <w:pPr>
        <w:pStyle w:val="Listenabsatz"/>
        <w:numPr>
          <w:ilvl w:val="0"/>
          <w:numId w:val="2"/>
        </w:numPr>
        <w:spacing w:after="120" w:line="360" w:lineRule="auto"/>
        <w:ind w:left="714" w:hanging="357"/>
      </w:pPr>
      <w:r>
        <w:t>ELEMENTS DE CHUTE</w:t>
      </w:r>
    </w:p>
    <w:p w:rsidR="00EA653B" w:rsidRDefault="00EA653B" w:rsidP="00474896">
      <w:pPr>
        <w:pStyle w:val="Listenabsatz"/>
        <w:numPr>
          <w:ilvl w:val="0"/>
          <w:numId w:val="2"/>
        </w:numPr>
        <w:spacing w:after="120" w:line="360" w:lineRule="auto"/>
        <w:ind w:left="714" w:hanging="357"/>
      </w:pPr>
      <w:r>
        <w:t>REGARD DUPLEX-PREDL MONOBLOC A PAROI DOUBLE DN 1000</w:t>
      </w:r>
    </w:p>
    <w:p w:rsidR="00EA653B" w:rsidRDefault="00EA653B" w:rsidP="00474896">
      <w:pPr>
        <w:pStyle w:val="Listenabsatz"/>
        <w:numPr>
          <w:ilvl w:val="0"/>
          <w:numId w:val="2"/>
        </w:numPr>
        <w:spacing w:after="120" w:line="360" w:lineRule="auto"/>
        <w:ind w:left="714" w:hanging="357"/>
      </w:pPr>
      <w:r>
        <w:t>REGARD DUPLEX-PREDL MONOBLOC A PAROI DOUBLE DN 800</w:t>
      </w:r>
    </w:p>
    <w:p w:rsidR="00EA653B" w:rsidRDefault="00EA653B" w:rsidP="00474896">
      <w:pPr>
        <w:pStyle w:val="Listenabsatz"/>
        <w:numPr>
          <w:ilvl w:val="0"/>
          <w:numId w:val="2"/>
        </w:numPr>
        <w:spacing w:after="120" w:line="360" w:lineRule="auto"/>
        <w:ind w:left="714" w:hanging="357"/>
      </w:pPr>
      <w:r>
        <w:t>REGARD DUPLEX-PREDL DN 600</w:t>
      </w:r>
    </w:p>
    <w:p w:rsidR="00EA653B" w:rsidRDefault="00EA653B" w:rsidP="00474896">
      <w:pPr>
        <w:pStyle w:val="Listenabsatz"/>
        <w:numPr>
          <w:ilvl w:val="0"/>
          <w:numId w:val="2"/>
        </w:numPr>
        <w:spacing w:after="120" w:line="360" w:lineRule="auto"/>
        <w:ind w:left="714" w:hanging="357"/>
      </w:pPr>
      <w:r>
        <w:t>REGARD DUPLEX-HYBRIDE PREDL MONOBLOC DN 1000</w:t>
      </w:r>
    </w:p>
    <w:p w:rsidR="0030365C" w:rsidRDefault="0030365C" w:rsidP="00474896">
      <w:pPr>
        <w:spacing w:line="360" w:lineRule="auto"/>
      </w:pPr>
    </w:p>
    <w:p w:rsidR="0030365C" w:rsidRDefault="0030365C"/>
    <w:p w:rsidR="0030365C" w:rsidRDefault="00AC35F0" w:rsidP="00AC35F0">
      <w:pPr>
        <w:jc w:val="center"/>
      </w:pPr>
      <w:r>
        <w:t>_________________________________________</w:t>
      </w:r>
    </w:p>
    <w:p w:rsidR="0030365C" w:rsidRDefault="0030365C"/>
    <w:p w:rsidR="0030365C" w:rsidRDefault="0030365C"/>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AC35F0" w:rsidRDefault="00AC35F0"/>
    <w:p w:rsidR="0030365C" w:rsidRDefault="0030365C"/>
    <w:p w:rsidR="0030365C" w:rsidRDefault="0030365C"/>
    <w:p w:rsidR="00AC35F0" w:rsidRDefault="00AC35F0" w:rsidP="00AC35F0">
      <w:pPr>
        <w:rPr>
          <w:rFonts w:ascii="Arial" w:hAnsi="Arial" w:cs="Arial"/>
          <w:b/>
          <w:bCs/>
          <w:i/>
          <w:iCs/>
          <w:sz w:val="20"/>
        </w:rPr>
      </w:pPr>
      <w:r>
        <w:rPr>
          <w:rFonts w:ascii="Arial" w:hAnsi="Arial" w:cs="Arial"/>
          <w:b/>
          <w:bCs/>
          <w:i/>
          <w:iCs/>
          <w:sz w:val="20"/>
        </w:rPr>
        <w:t>Bureau commercial France :</w:t>
      </w:r>
    </w:p>
    <w:p w:rsidR="00AC35F0" w:rsidRDefault="00AC35F0" w:rsidP="00AC35F0">
      <w:pPr>
        <w:rPr>
          <w:rFonts w:ascii="Arial" w:hAnsi="Arial" w:cs="Arial"/>
          <w:b/>
          <w:bCs/>
          <w:sz w:val="10"/>
        </w:rPr>
      </w:pPr>
    </w:p>
    <w:p w:rsidR="00AC35F0" w:rsidRDefault="00AC35F0" w:rsidP="00AC35F0">
      <w:pPr>
        <w:ind w:left="1980" w:hanging="2160"/>
        <w:rPr>
          <w:rFonts w:ascii="Arial" w:hAnsi="Arial" w:cs="Arial"/>
          <w:b/>
          <w:bCs/>
          <w:sz w:val="20"/>
        </w:rPr>
      </w:pPr>
      <w:r>
        <w:rPr>
          <w:rFonts w:ascii="Arial" w:hAnsi="Arial" w:cs="Arial"/>
          <w:b/>
          <w:bCs/>
          <w:sz w:val="20"/>
        </w:rPr>
        <w:t xml:space="preserve">   M. Pieter CORRY, 7 Imp. des Lilas, 81570 FREJEVILLE, tél : 06 33 76 73 84, fax : 05 63 70 43 39    </w:t>
      </w:r>
    </w:p>
    <w:p w:rsidR="00AC35F0" w:rsidRDefault="00AC35F0" w:rsidP="00AC35F0">
      <w:pPr>
        <w:ind w:left="1980" w:hanging="2160"/>
        <w:rPr>
          <w:rFonts w:ascii="Arial" w:hAnsi="Arial" w:cs="Arial"/>
          <w:b/>
          <w:bCs/>
          <w:sz w:val="10"/>
        </w:rPr>
      </w:pPr>
    </w:p>
    <w:p w:rsidR="00AC35F0" w:rsidRPr="00474896" w:rsidRDefault="00AC35F0" w:rsidP="00AC35F0">
      <w:pPr>
        <w:rPr>
          <w:lang w:val="de-DE"/>
        </w:rPr>
      </w:pPr>
      <w:r w:rsidRPr="00567C48">
        <w:rPr>
          <w:rFonts w:ascii="Arial" w:hAnsi="Arial" w:cs="Arial"/>
          <w:b/>
          <w:bCs/>
          <w:sz w:val="20"/>
          <w:lang w:val="pt-PT"/>
        </w:rPr>
        <w:t xml:space="preserve">E-mail : </w:t>
      </w:r>
      <w:r w:rsidR="00B76A04">
        <w:fldChar w:fldCharType="begin"/>
      </w:r>
      <w:r w:rsidR="00B76A04" w:rsidRPr="00474896">
        <w:rPr>
          <w:lang w:val="de-DE"/>
        </w:rPr>
        <w:instrText>HYPERLINK "mailto:pcorry@predl.eu"</w:instrText>
      </w:r>
      <w:r w:rsidR="00B76A04">
        <w:fldChar w:fldCharType="separate"/>
      </w:r>
      <w:r w:rsidRPr="00567C48">
        <w:rPr>
          <w:rStyle w:val="Hyperlink"/>
          <w:rFonts w:ascii="Arial" w:hAnsi="Arial" w:cs="Arial"/>
          <w:b/>
          <w:bCs/>
          <w:sz w:val="20"/>
          <w:lang w:val="pt-PT"/>
        </w:rPr>
        <w:t>pcorry@predl.eu</w:t>
      </w:r>
      <w:r w:rsidR="00B76A04">
        <w:fldChar w:fldCharType="end"/>
      </w:r>
      <w:r w:rsidRPr="00567C48">
        <w:rPr>
          <w:rFonts w:ascii="Arial" w:hAnsi="Arial" w:cs="Arial"/>
          <w:b/>
          <w:bCs/>
          <w:sz w:val="20"/>
          <w:lang w:val="pt-PT"/>
        </w:rPr>
        <w:t xml:space="preserve">       web : </w:t>
      </w:r>
      <w:r w:rsidR="00B76A04">
        <w:fldChar w:fldCharType="begin"/>
      </w:r>
      <w:r w:rsidR="00B76A04" w:rsidRPr="00474896">
        <w:rPr>
          <w:lang w:val="de-DE"/>
        </w:rPr>
        <w:instrText>HYPERLINK "http://www.predl.eu"</w:instrText>
      </w:r>
      <w:r w:rsidR="00B76A04">
        <w:fldChar w:fldCharType="separate"/>
      </w:r>
      <w:r w:rsidRPr="00567C48">
        <w:rPr>
          <w:rStyle w:val="Hyperlink"/>
          <w:rFonts w:ascii="Arial" w:hAnsi="Arial" w:cs="Arial"/>
          <w:b/>
          <w:bCs/>
          <w:sz w:val="20"/>
          <w:lang w:val="pt-PT"/>
        </w:rPr>
        <w:t>www.predl.eu</w:t>
      </w:r>
      <w:r w:rsidR="00B76A04">
        <w:fldChar w:fldCharType="end"/>
      </w:r>
    </w:p>
    <w:p w:rsidR="0030365C" w:rsidRPr="00474896" w:rsidRDefault="0030365C">
      <w:pPr>
        <w:rPr>
          <w:lang w:val="de-DE"/>
        </w:rPr>
      </w:pPr>
    </w:p>
    <w:p w:rsidR="0030365C" w:rsidRPr="00474896" w:rsidRDefault="0030365C">
      <w:pPr>
        <w:rPr>
          <w:lang w:val="de-DE"/>
        </w:rPr>
      </w:pPr>
    </w:p>
    <w:p w:rsidR="0030365C" w:rsidRPr="00474896" w:rsidRDefault="0030365C">
      <w:pPr>
        <w:rPr>
          <w:lang w:val="de-DE"/>
        </w:rPr>
      </w:pPr>
    </w:p>
    <w:p w:rsidR="0030365C" w:rsidRPr="00474896" w:rsidRDefault="0030365C">
      <w:pPr>
        <w:rPr>
          <w:lang w:val="de-DE"/>
        </w:rPr>
      </w:pPr>
    </w:p>
    <w:p w:rsidR="00AC35F0" w:rsidRPr="00AC35F0" w:rsidRDefault="00AC35F0" w:rsidP="00AC35F0">
      <w:pPr>
        <w:pStyle w:val="Listenabsatz"/>
        <w:numPr>
          <w:ilvl w:val="0"/>
          <w:numId w:val="3"/>
        </w:numPr>
        <w:rPr>
          <w:b/>
        </w:rPr>
      </w:pPr>
      <w:r w:rsidRPr="00AC35F0">
        <w:rPr>
          <w:b/>
        </w:rPr>
        <w:t>CUNETTE EN POLYPROPYLENE OU EN PRV</w:t>
      </w:r>
    </w:p>
    <w:p w:rsidR="0030365C" w:rsidRDefault="0030365C"/>
    <w:p w:rsidR="0030365C" w:rsidRDefault="0030365C"/>
    <w:p w:rsidR="0030365C" w:rsidRDefault="0030365C"/>
    <w:p w:rsidR="0030365C" w:rsidRPr="00AC35F0" w:rsidRDefault="0030365C" w:rsidP="0030365C">
      <w:pPr>
        <w:rPr>
          <w:i/>
          <w:iCs/>
          <w:sz w:val="28"/>
          <w:szCs w:val="28"/>
        </w:rPr>
      </w:pPr>
      <w:r w:rsidRPr="00AC35F0">
        <w:rPr>
          <w:i/>
          <w:iCs/>
          <w:sz w:val="28"/>
          <w:szCs w:val="28"/>
        </w:rPr>
        <w:t>Modèle de prescription :</w:t>
      </w:r>
    </w:p>
    <w:p w:rsidR="0030365C" w:rsidRPr="00AC35F0" w:rsidRDefault="0030365C" w:rsidP="0030365C">
      <w:pPr>
        <w:rPr>
          <w:sz w:val="28"/>
          <w:szCs w:val="28"/>
        </w:rPr>
      </w:pPr>
    </w:p>
    <w:p w:rsidR="0030365C" w:rsidRPr="00AC35F0" w:rsidRDefault="0030365C" w:rsidP="0030365C">
      <w:pPr>
        <w:rPr>
          <w:i/>
          <w:iCs/>
          <w:sz w:val="28"/>
          <w:szCs w:val="28"/>
        </w:rPr>
      </w:pPr>
      <w:r w:rsidRPr="00AC35F0">
        <w:rPr>
          <w:i/>
          <w:iCs/>
          <w:sz w:val="28"/>
          <w:szCs w:val="28"/>
        </w:rPr>
        <w:t>« Elément de fond de regard circulaire en béton pour réseaux d’assainissements et/ou pluviaux enterrés, conforme à la NF EN 1917 et comprenant :</w:t>
      </w:r>
    </w:p>
    <w:p w:rsidR="0030365C" w:rsidRPr="00AC35F0" w:rsidRDefault="0030365C" w:rsidP="0030365C">
      <w:pPr>
        <w:rPr>
          <w:i/>
          <w:iCs/>
          <w:sz w:val="28"/>
          <w:szCs w:val="28"/>
        </w:rPr>
      </w:pPr>
      <w:r w:rsidRPr="00AC35F0">
        <w:rPr>
          <w:i/>
          <w:iCs/>
          <w:sz w:val="28"/>
          <w:szCs w:val="28"/>
        </w:rPr>
        <w:t>- Fond de regard complet de diamètre DN 1000  mm (ou DN 600 ou 800 si spécifié), coulé dans du béton en usine, constitué d’un revêtement en polypropylène ou en PRV avec conduit, banquette et manchons de branchement avec joints d’étanchéités intégrés et adaptés aux tuyaux choisis. Type de tuyau : ………… »</w:t>
      </w:r>
    </w:p>
    <w:p w:rsidR="0030365C" w:rsidRPr="00AC35F0" w:rsidRDefault="0030365C" w:rsidP="0030365C">
      <w:pPr>
        <w:rPr>
          <w:i/>
          <w:iCs/>
          <w:sz w:val="28"/>
          <w:szCs w:val="28"/>
        </w:rPr>
      </w:pPr>
    </w:p>
    <w:p w:rsidR="0030365C" w:rsidRDefault="0030365C" w:rsidP="0030365C">
      <w:pPr>
        <w:rPr>
          <w:i/>
          <w:iCs/>
          <w:sz w:val="32"/>
          <w:szCs w:val="32"/>
        </w:rPr>
      </w:pPr>
    </w:p>
    <w:p w:rsidR="0030365C" w:rsidRPr="00374441" w:rsidRDefault="0030365C" w:rsidP="0030365C">
      <w:pPr>
        <w:rPr>
          <w:i/>
          <w:iCs/>
          <w:sz w:val="32"/>
          <w:szCs w:val="32"/>
        </w:rPr>
      </w:pPr>
    </w:p>
    <w:p w:rsidR="0030365C" w:rsidRPr="00374441" w:rsidRDefault="0030365C" w:rsidP="0030365C">
      <w:pPr>
        <w:rPr>
          <w:sz w:val="32"/>
          <w:szCs w:val="32"/>
        </w:rPr>
      </w:pPr>
    </w:p>
    <w:p w:rsidR="00EA653B" w:rsidRDefault="0030365C" w:rsidP="00EA653B">
      <w:pPr>
        <w:rPr>
          <w:b/>
          <w:iCs/>
          <w:sz w:val="32"/>
          <w:szCs w:val="32"/>
        </w:rPr>
      </w:pPr>
      <w:r>
        <w:rPr>
          <w:noProof/>
          <w:lang w:val="de-DE" w:eastAsia="de-DE"/>
        </w:rPr>
        <w:drawing>
          <wp:inline distT="0" distB="0" distL="0" distR="0">
            <wp:extent cx="5772785" cy="4436745"/>
            <wp:effectExtent l="0" t="0" r="0" b="8255"/>
            <wp:docPr id="1" name="Image 1" descr="Formation allemag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 allemagne 365"/>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72785" cy="4436745"/>
                    </a:xfrm>
                    <a:prstGeom prst="rect">
                      <a:avLst/>
                    </a:prstGeom>
                    <a:noFill/>
                    <a:ln>
                      <a:noFill/>
                    </a:ln>
                  </pic:spPr>
                </pic:pic>
              </a:graphicData>
            </a:graphic>
          </wp:inline>
        </w:drawing>
      </w:r>
    </w:p>
    <w:p w:rsidR="00EA653B" w:rsidRDefault="00EA653B" w:rsidP="00EA653B">
      <w:pPr>
        <w:rPr>
          <w:b/>
          <w:iCs/>
          <w:sz w:val="32"/>
          <w:szCs w:val="32"/>
        </w:rPr>
      </w:pPr>
    </w:p>
    <w:p w:rsidR="00EA653B" w:rsidRDefault="00EA653B" w:rsidP="00EA653B">
      <w:pPr>
        <w:rPr>
          <w:b/>
          <w:iCs/>
          <w:sz w:val="32"/>
          <w:szCs w:val="32"/>
        </w:rPr>
      </w:pPr>
    </w:p>
    <w:p w:rsidR="00AC35F0" w:rsidRDefault="00AC35F0" w:rsidP="00EA653B">
      <w:pPr>
        <w:rPr>
          <w:b/>
          <w:iCs/>
          <w:sz w:val="32"/>
          <w:szCs w:val="32"/>
        </w:rPr>
      </w:pPr>
    </w:p>
    <w:p w:rsidR="00AC35F0" w:rsidRDefault="00AC35F0" w:rsidP="00EA653B">
      <w:pPr>
        <w:rPr>
          <w:b/>
          <w:iCs/>
          <w:sz w:val="32"/>
          <w:szCs w:val="32"/>
        </w:rPr>
      </w:pPr>
    </w:p>
    <w:p w:rsidR="00EA653B" w:rsidRDefault="00EA653B" w:rsidP="00EA653B">
      <w:pPr>
        <w:rPr>
          <w:b/>
          <w:iCs/>
          <w:sz w:val="32"/>
          <w:szCs w:val="32"/>
        </w:rPr>
      </w:pPr>
    </w:p>
    <w:p w:rsidR="00EA653B" w:rsidRDefault="00EA653B" w:rsidP="00EA653B">
      <w:pPr>
        <w:rPr>
          <w:b/>
          <w:iCs/>
          <w:sz w:val="32"/>
          <w:szCs w:val="32"/>
        </w:rPr>
      </w:pPr>
    </w:p>
    <w:p w:rsidR="00AC35F0" w:rsidRPr="00AC35F0" w:rsidRDefault="00AC35F0" w:rsidP="00AC35F0">
      <w:pPr>
        <w:pStyle w:val="Listenabsatz"/>
        <w:numPr>
          <w:ilvl w:val="0"/>
          <w:numId w:val="3"/>
        </w:numPr>
        <w:rPr>
          <w:b/>
        </w:rPr>
      </w:pPr>
      <w:r w:rsidRPr="00AC35F0">
        <w:rPr>
          <w:b/>
        </w:rPr>
        <w:t>REVETEMENT CORPROTECT</w:t>
      </w:r>
    </w:p>
    <w:p w:rsidR="00EA653B" w:rsidRDefault="00EA653B" w:rsidP="00EA653B">
      <w:pPr>
        <w:rPr>
          <w:b/>
          <w:iCs/>
          <w:sz w:val="32"/>
          <w:szCs w:val="32"/>
        </w:rPr>
      </w:pPr>
    </w:p>
    <w:p w:rsidR="00EA653B" w:rsidRPr="00AC35F0" w:rsidRDefault="00EA653B" w:rsidP="00EA653B">
      <w:pPr>
        <w:rPr>
          <w:sz w:val="28"/>
          <w:szCs w:val="28"/>
        </w:rPr>
      </w:pPr>
      <w:r w:rsidRPr="00AC35F0">
        <w:rPr>
          <w:i/>
          <w:iCs/>
          <w:sz w:val="28"/>
          <w:szCs w:val="28"/>
        </w:rPr>
        <w:t>Modèle de prescription :</w:t>
      </w:r>
    </w:p>
    <w:p w:rsidR="00EA653B" w:rsidRPr="00EA653B" w:rsidRDefault="00EA653B" w:rsidP="00EA653B">
      <w:pPr>
        <w:rPr>
          <w:i/>
          <w:iCs/>
          <w:sz w:val="32"/>
          <w:szCs w:val="32"/>
        </w:rPr>
      </w:pPr>
    </w:p>
    <w:p w:rsidR="00EA653B" w:rsidRPr="00AC35F0" w:rsidRDefault="00EA653B" w:rsidP="00EA653B">
      <w:pPr>
        <w:pStyle w:val="Listenabsatz"/>
        <w:numPr>
          <w:ilvl w:val="0"/>
          <w:numId w:val="1"/>
        </w:numPr>
        <w:rPr>
          <w:i/>
          <w:iCs/>
          <w:sz w:val="28"/>
          <w:szCs w:val="28"/>
        </w:rPr>
      </w:pPr>
      <w:r w:rsidRPr="00AC35F0">
        <w:rPr>
          <w:i/>
          <w:iCs/>
          <w:sz w:val="28"/>
          <w:szCs w:val="28"/>
        </w:rPr>
        <w:t>« Elément de béton préfabriqué en usine, rectangulaire ou circulaire, revêtu de CORPROTECT (polypropylène) d’une épaisseur minimale de 2 MM et dont l’accroche au béton est assurée par des picots de 13 MM de long (400 picots au m2).</w:t>
      </w:r>
    </w:p>
    <w:p w:rsidR="00EA653B" w:rsidRPr="00AC35F0" w:rsidRDefault="00EA653B" w:rsidP="00EA653B">
      <w:pPr>
        <w:pStyle w:val="Listenabsatz"/>
        <w:numPr>
          <w:ilvl w:val="0"/>
          <w:numId w:val="1"/>
        </w:numPr>
        <w:rPr>
          <w:i/>
          <w:iCs/>
          <w:sz w:val="28"/>
          <w:szCs w:val="28"/>
        </w:rPr>
      </w:pPr>
      <w:r w:rsidRPr="00AC35F0">
        <w:rPr>
          <w:i/>
          <w:iCs/>
          <w:sz w:val="28"/>
          <w:szCs w:val="28"/>
        </w:rPr>
        <w:t>Le polypropylène résiste à l’acidité  des eaux usées et industrielles comprises entre un PH de 2 à 12 à 20° C.  T° maximale 90°C.</w:t>
      </w:r>
    </w:p>
    <w:p w:rsidR="00EA653B" w:rsidRPr="00EA653B" w:rsidRDefault="00EA653B" w:rsidP="00EA653B">
      <w:pPr>
        <w:rPr>
          <w:i/>
          <w:iCs/>
        </w:rPr>
      </w:pPr>
    </w:p>
    <w:p w:rsidR="00EA653B" w:rsidRDefault="00EA653B" w:rsidP="00EA653B">
      <w:pPr>
        <w:pStyle w:val="Listenabsatz"/>
        <w:numPr>
          <w:ilvl w:val="0"/>
          <w:numId w:val="1"/>
        </w:numPr>
      </w:pPr>
      <w:r>
        <w:rPr>
          <w:noProof/>
          <w:lang w:val="de-DE" w:eastAsia="de-DE"/>
        </w:rPr>
        <w:drawing>
          <wp:inline distT="0" distB="0" distL="0" distR="0">
            <wp:extent cx="1775460" cy="2223770"/>
            <wp:effectExtent l="19050" t="0" r="0" b="0"/>
            <wp:docPr id="23" name="Image 23" descr="Noyau liner t gro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yau liner t gros pla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657"/>
                    <a:stretch>
                      <a:fillRect/>
                    </a:stretch>
                  </pic:blipFill>
                  <pic:spPr bwMode="auto">
                    <a:xfrm>
                      <a:off x="0" y="0"/>
                      <a:ext cx="1775460" cy="2223770"/>
                    </a:xfrm>
                    <a:prstGeom prst="rect">
                      <a:avLst/>
                    </a:prstGeom>
                    <a:noFill/>
                    <a:ln>
                      <a:noFill/>
                    </a:ln>
                  </pic:spPr>
                </pic:pic>
              </a:graphicData>
            </a:graphic>
          </wp:inline>
        </w:drawing>
      </w:r>
      <w:r>
        <w:t xml:space="preserve"> </w:t>
      </w:r>
      <w:r>
        <w:rPr>
          <w:noProof/>
          <w:lang w:val="de-DE" w:eastAsia="de-DE"/>
        </w:rPr>
        <w:drawing>
          <wp:inline distT="0" distB="0" distL="0" distR="0">
            <wp:extent cx="2959123" cy="2223163"/>
            <wp:effectExtent l="0" t="0" r="0" b="12065"/>
            <wp:docPr id="12" name="Image 24" descr="Prototype Polypropylène (Corprotect)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totype Polypropylène (Corprotect) 00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59123" cy="2223163"/>
                    </a:xfrm>
                    <a:prstGeom prst="rect">
                      <a:avLst/>
                    </a:prstGeom>
                    <a:noFill/>
                    <a:ln>
                      <a:noFill/>
                    </a:ln>
                  </pic:spPr>
                </pic:pic>
              </a:graphicData>
            </a:graphic>
          </wp:inline>
        </w:drawing>
      </w:r>
    </w:p>
    <w:p w:rsidR="00EA653B" w:rsidRDefault="00EA653B" w:rsidP="00EA653B">
      <w:r>
        <w:tab/>
        <w:t xml:space="preserve">Mise en œuvre  </w:t>
      </w:r>
      <w:r>
        <w:tab/>
      </w:r>
      <w:r>
        <w:tab/>
      </w:r>
      <w:r>
        <w:tab/>
      </w:r>
      <w:r>
        <w:tab/>
        <w:t>Produit fini</w:t>
      </w:r>
    </w:p>
    <w:p w:rsidR="00EA653B" w:rsidRDefault="00EA653B" w:rsidP="00EA653B"/>
    <w:p w:rsidR="00EA653B" w:rsidRDefault="00EA653B" w:rsidP="00EA653B">
      <w:r>
        <w:rPr>
          <w:noProof/>
          <w:lang w:val="de-DE" w:eastAsia="de-DE"/>
        </w:rPr>
        <w:drawing>
          <wp:inline distT="0" distB="0" distL="0" distR="0">
            <wp:extent cx="2504440" cy="1884680"/>
            <wp:effectExtent l="0" t="0" r="10160" b="0"/>
            <wp:docPr id="5" name="Image 5" descr="IMG_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24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04440" cy="1884680"/>
                    </a:xfrm>
                    <a:prstGeom prst="rect">
                      <a:avLst/>
                    </a:prstGeom>
                    <a:noFill/>
                    <a:ln>
                      <a:noFill/>
                    </a:ln>
                  </pic:spPr>
                </pic:pic>
              </a:graphicData>
            </a:graphic>
          </wp:inline>
        </w:drawing>
      </w:r>
      <w:r>
        <w:t xml:space="preserve"> </w:t>
      </w:r>
      <w:r>
        <w:rPr>
          <w:noProof/>
          <w:lang w:val="de-DE" w:eastAsia="de-DE"/>
        </w:rPr>
        <w:drawing>
          <wp:inline distT="0" distB="0" distL="0" distR="0">
            <wp:extent cx="2822575" cy="1876425"/>
            <wp:effectExtent l="0" t="0" r="0" b="3175"/>
            <wp:docPr id="6" name="Image 6" descr="WEBECO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ECO 04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2575" cy="1876425"/>
                    </a:xfrm>
                    <a:prstGeom prst="rect">
                      <a:avLst/>
                    </a:prstGeom>
                    <a:noFill/>
                    <a:ln>
                      <a:noFill/>
                    </a:ln>
                  </pic:spPr>
                </pic:pic>
              </a:graphicData>
            </a:graphic>
          </wp:inline>
        </w:drawing>
      </w:r>
    </w:p>
    <w:p w:rsidR="00EA653B" w:rsidRDefault="00EA653B" w:rsidP="00EA653B">
      <w:r>
        <w:t>Revêtement intérieur du regard de visite avec du CORPROTECT (PP) de chez PREDL</w:t>
      </w:r>
    </w:p>
    <w:p w:rsidR="00EA653B" w:rsidRDefault="00EA653B" w:rsidP="00EA653B"/>
    <w:p w:rsidR="00EA653B" w:rsidRDefault="00EA653B" w:rsidP="00EA653B">
      <w:r>
        <w:rPr>
          <w:noProof/>
          <w:lang w:val="de-DE" w:eastAsia="de-DE"/>
        </w:rPr>
        <w:drawing>
          <wp:inline distT="0" distB="0" distL="0" distR="0">
            <wp:extent cx="2862580" cy="1605915"/>
            <wp:effectExtent l="0" t="0" r="7620" b="0"/>
            <wp:docPr id="7" name="Image 7" descr="Dalle Cor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le Corprotect"/>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62580" cy="1605915"/>
                    </a:xfrm>
                    <a:prstGeom prst="rect">
                      <a:avLst/>
                    </a:prstGeom>
                    <a:noFill/>
                    <a:ln>
                      <a:noFill/>
                    </a:ln>
                  </pic:spPr>
                </pic:pic>
              </a:graphicData>
            </a:graphic>
          </wp:inline>
        </w:drawing>
      </w:r>
      <w:r>
        <w:t xml:space="preserve"> </w:t>
      </w:r>
      <w:r>
        <w:rPr>
          <w:noProof/>
          <w:lang w:val="de-DE" w:eastAsia="de-DE"/>
        </w:rPr>
        <w:drawing>
          <wp:inline distT="0" distB="0" distL="0" distR="0">
            <wp:extent cx="2398395" cy="1600200"/>
            <wp:effectExtent l="19050" t="0" r="1905" b="0"/>
            <wp:docPr id="8" name="Image 8" descr="IMG_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6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448"/>
                    <a:stretch>
                      <a:fillRect/>
                    </a:stretch>
                  </pic:blipFill>
                  <pic:spPr bwMode="auto">
                    <a:xfrm>
                      <a:off x="0" y="0"/>
                      <a:ext cx="2398395" cy="1600200"/>
                    </a:xfrm>
                    <a:prstGeom prst="rect">
                      <a:avLst/>
                    </a:prstGeom>
                    <a:noFill/>
                    <a:ln>
                      <a:noFill/>
                    </a:ln>
                  </pic:spPr>
                </pic:pic>
              </a:graphicData>
            </a:graphic>
          </wp:inline>
        </w:drawing>
      </w:r>
    </w:p>
    <w:p w:rsidR="00EA653B" w:rsidRDefault="00EA653B" w:rsidP="00EA653B"/>
    <w:p w:rsidR="00AC35F0" w:rsidRDefault="00EA653B" w:rsidP="00AC35F0">
      <w:r>
        <w:t>Revêtement intérieur de la dalle avec du CORPROTECT (PP) de chez PREDL</w:t>
      </w:r>
    </w:p>
    <w:p w:rsidR="00AC35F0" w:rsidRDefault="00AC35F0" w:rsidP="00AC35F0">
      <w:pPr>
        <w:ind w:left="360"/>
      </w:pPr>
    </w:p>
    <w:p w:rsidR="00AC35F0" w:rsidRDefault="00AC35F0" w:rsidP="00AC35F0">
      <w:pPr>
        <w:ind w:left="360"/>
      </w:pPr>
    </w:p>
    <w:p w:rsidR="00AC35F0" w:rsidRDefault="00AC35F0" w:rsidP="00AC35F0">
      <w:pPr>
        <w:ind w:left="360"/>
      </w:pPr>
    </w:p>
    <w:p w:rsidR="00AC35F0" w:rsidRPr="00AC35F0" w:rsidRDefault="00AC35F0" w:rsidP="00AC35F0">
      <w:pPr>
        <w:pStyle w:val="Listenabsatz"/>
        <w:numPr>
          <w:ilvl w:val="0"/>
          <w:numId w:val="3"/>
        </w:numPr>
        <w:rPr>
          <w:b/>
        </w:rPr>
      </w:pPr>
      <w:r w:rsidRPr="00AC35F0">
        <w:rPr>
          <w:b/>
        </w:rPr>
        <w:t>REHABILITATION DE REGARDS DE VISITE</w:t>
      </w:r>
    </w:p>
    <w:p w:rsidR="00EA653B" w:rsidRDefault="00EA653B"/>
    <w:p w:rsidR="00EA653B" w:rsidRDefault="00EA653B"/>
    <w:p w:rsidR="00EA653B" w:rsidRPr="00AC35F0" w:rsidRDefault="00EA653B">
      <w:pPr>
        <w:rPr>
          <w:sz w:val="28"/>
          <w:szCs w:val="28"/>
        </w:rPr>
      </w:pPr>
    </w:p>
    <w:p w:rsidR="00EA653B" w:rsidRPr="00AC35F0" w:rsidRDefault="00EA653B" w:rsidP="00EA653B">
      <w:pPr>
        <w:rPr>
          <w:i/>
          <w:iCs/>
          <w:sz w:val="28"/>
          <w:szCs w:val="28"/>
        </w:rPr>
      </w:pPr>
      <w:r w:rsidRPr="00AC35F0">
        <w:rPr>
          <w:i/>
          <w:iCs/>
          <w:sz w:val="28"/>
          <w:szCs w:val="28"/>
        </w:rPr>
        <w:t>Modèle de prescription :</w:t>
      </w:r>
    </w:p>
    <w:p w:rsidR="00EA653B" w:rsidRPr="00AC35F0" w:rsidRDefault="00EA653B" w:rsidP="00EA653B">
      <w:pPr>
        <w:rPr>
          <w:sz w:val="28"/>
          <w:szCs w:val="28"/>
        </w:rPr>
      </w:pPr>
    </w:p>
    <w:p w:rsidR="00EA653B" w:rsidRPr="00AC35F0" w:rsidRDefault="00EA653B" w:rsidP="00EA653B">
      <w:pPr>
        <w:rPr>
          <w:i/>
          <w:iCs/>
          <w:sz w:val="28"/>
          <w:szCs w:val="28"/>
        </w:rPr>
      </w:pPr>
      <w:r w:rsidRPr="00AC35F0">
        <w:rPr>
          <w:i/>
          <w:iCs/>
          <w:sz w:val="28"/>
          <w:szCs w:val="28"/>
        </w:rPr>
        <w:t>« Eléments en polypropylène ou en PRV pour la rénovation de regards d’assainissement circulaires comprenant :</w:t>
      </w:r>
    </w:p>
    <w:p w:rsidR="00EA653B" w:rsidRPr="00AC35F0" w:rsidRDefault="00EA653B" w:rsidP="00EA653B">
      <w:pPr>
        <w:rPr>
          <w:i/>
          <w:iCs/>
          <w:sz w:val="28"/>
          <w:szCs w:val="28"/>
        </w:rPr>
      </w:pPr>
    </w:p>
    <w:p w:rsidR="00EA653B" w:rsidRPr="00AC35F0" w:rsidRDefault="00EA653B" w:rsidP="00EA653B">
      <w:pPr>
        <w:rPr>
          <w:i/>
          <w:iCs/>
          <w:sz w:val="28"/>
          <w:szCs w:val="28"/>
        </w:rPr>
      </w:pPr>
      <w:r w:rsidRPr="00AC35F0">
        <w:rPr>
          <w:i/>
          <w:iCs/>
          <w:sz w:val="28"/>
          <w:szCs w:val="28"/>
        </w:rPr>
        <w:t>Fond de regard de diamètre DN 600 à 1000 mm environ (réalisé sur mesure), soudé ou laminé au corps vertical à soit en PRV avec face extérieure sablée soit en Polypropylène avec des picots de 13mm (env. 400 picots / m2).</w:t>
      </w:r>
    </w:p>
    <w:p w:rsidR="00EA653B" w:rsidRPr="00AC35F0" w:rsidRDefault="00EA653B" w:rsidP="00EA653B">
      <w:pPr>
        <w:rPr>
          <w:i/>
          <w:iCs/>
          <w:sz w:val="28"/>
          <w:szCs w:val="28"/>
        </w:rPr>
      </w:pPr>
      <w:r w:rsidRPr="00AC35F0">
        <w:rPr>
          <w:i/>
          <w:iCs/>
          <w:sz w:val="28"/>
          <w:szCs w:val="28"/>
        </w:rPr>
        <w:t>L’ensemble sera scellé avec du béton entre l’extérieur du produit PP  /PRV et l’intérieur de l’ancien regard béton à réhabiliter.</w:t>
      </w:r>
      <w:r w:rsidR="001716C5">
        <w:rPr>
          <w:i/>
          <w:iCs/>
          <w:sz w:val="28"/>
          <w:szCs w:val="28"/>
        </w:rPr>
        <w:t> »</w:t>
      </w:r>
      <w:bookmarkStart w:id="0" w:name="_GoBack"/>
      <w:bookmarkEnd w:id="0"/>
    </w:p>
    <w:p w:rsidR="00EA653B" w:rsidRPr="00AC35F0" w:rsidRDefault="00EA653B" w:rsidP="00EA653B">
      <w:pPr>
        <w:rPr>
          <w:i/>
          <w:iCs/>
          <w:sz w:val="28"/>
          <w:szCs w:val="28"/>
        </w:rPr>
      </w:pPr>
    </w:p>
    <w:p w:rsidR="00EA653B" w:rsidRPr="00AC35F0" w:rsidRDefault="00EA653B" w:rsidP="00EA653B">
      <w:pPr>
        <w:rPr>
          <w:i/>
          <w:iCs/>
          <w:sz w:val="28"/>
          <w:szCs w:val="28"/>
        </w:rPr>
      </w:pPr>
      <w:r w:rsidRPr="00AC35F0">
        <w:rPr>
          <w:i/>
          <w:iCs/>
          <w:sz w:val="28"/>
          <w:szCs w:val="28"/>
        </w:rPr>
        <w:t>L’ensemble deviendra ainsi une structure complète, lesté, apportant une étanchéité et une protection face à la corrosion, aux chocs et à l’abrasion.</w:t>
      </w:r>
    </w:p>
    <w:p w:rsidR="00EA653B" w:rsidRDefault="00EA653B" w:rsidP="00EA653B">
      <w:pPr>
        <w:rPr>
          <w:i/>
          <w:iCs/>
          <w:sz w:val="32"/>
          <w:szCs w:val="32"/>
        </w:rPr>
      </w:pPr>
    </w:p>
    <w:p w:rsidR="00EA653B" w:rsidRDefault="00EA653B" w:rsidP="00EA653B">
      <w:pPr>
        <w:rPr>
          <w:i/>
          <w:iCs/>
          <w:sz w:val="32"/>
          <w:szCs w:val="32"/>
        </w:rPr>
      </w:pPr>
      <w:r>
        <w:rPr>
          <w:rFonts w:ascii="Arial" w:hAnsi="Arial" w:cs="Arial"/>
          <w:b/>
          <w:noProof/>
          <w:lang w:val="de-DE" w:eastAsia="de-DE"/>
        </w:rPr>
        <w:drawing>
          <wp:inline distT="0" distB="0" distL="0" distR="0">
            <wp:extent cx="2743200" cy="2059305"/>
            <wp:effectExtent l="0" t="0" r="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200" cy="2059305"/>
                    </a:xfrm>
                    <a:prstGeom prst="rect">
                      <a:avLst/>
                    </a:prstGeom>
                    <a:noFill/>
                    <a:ln>
                      <a:noFill/>
                    </a:ln>
                  </pic:spPr>
                </pic:pic>
              </a:graphicData>
            </a:graphic>
          </wp:inline>
        </w:drawing>
      </w:r>
      <w:r>
        <w:rPr>
          <w:rFonts w:ascii="Arial" w:hAnsi="Arial" w:cs="Arial"/>
          <w:b/>
          <w:noProof/>
          <w:lang w:val="de-DE" w:eastAsia="de-DE"/>
        </w:rPr>
        <w:drawing>
          <wp:inline distT="0" distB="0" distL="0" distR="0">
            <wp:extent cx="2771775" cy="2057400"/>
            <wp:effectExtent l="19050" t="0" r="9525"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370"/>
                    <a:stretch>
                      <a:fillRect/>
                    </a:stretch>
                  </pic:blipFill>
                  <pic:spPr bwMode="auto">
                    <a:xfrm>
                      <a:off x="0" y="0"/>
                      <a:ext cx="2771775" cy="2057400"/>
                    </a:xfrm>
                    <a:prstGeom prst="rect">
                      <a:avLst/>
                    </a:prstGeom>
                    <a:noFill/>
                    <a:ln>
                      <a:noFill/>
                    </a:ln>
                  </pic:spPr>
                </pic:pic>
              </a:graphicData>
            </a:graphic>
          </wp:inline>
        </w:drawing>
      </w:r>
    </w:p>
    <w:p w:rsidR="00EA653B" w:rsidRPr="00374441" w:rsidRDefault="00EA653B" w:rsidP="00EA653B">
      <w:pPr>
        <w:rPr>
          <w:i/>
          <w:iCs/>
          <w:sz w:val="32"/>
          <w:szCs w:val="32"/>
        </w:rPr>
      </w:pPr>
    </w:p>
    <w:p w:rsidR="00EA653B" w:rsidRPr="00374441" w:rsidRDefault="00EA653B" w:rsidP="00EA653B">
      <w:pPr>
        <w:rPr>
          <w:sz w:val="32"/>
          <w:szCs w:val="32"/>
        </w:rPr>
      </w:pPr>
      <w:r>
        <w:rPr>
          <w:noProof/>
          <w:lang w:val="de-DE" w:eastAsia="de-DE"/>
        </w:rPr>
        <w:drawing>
          <wp:inline distT="0" distB="0" distL="0" distR="0">
            <wp:extent cx="1240155" cy="1868805"/>
            <wp:effectExtent l="0" t="0" r="4445" b="10795"/>
            <wp:docPr id="17" name="Image 1" descr="http://www.predl.eu/typo3temp/pics/282bc0d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predl.eu/typo3temp/pics/282bc0d29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0155" cy="1868805"/>
                    </a:xfrm>
                    <a:prstGeom prst="rect">
                      <a:avLst/>
                    </a:prstGeom>
                    <a:noFill/>
                    <a:ln>
                      <a:noFill/>
                    </a:ln>
                  </pic:spPr>
                </pic:pic>
              </a:graphicData>
            </a:graphic>
          </wp:inline>
        </w:drawing>
      </w:r>
      <w:r>
        <w:rPr>
          <w:noProof/>
        </w:rPr>
        <w:t xml:space="preserve">  </w:t>
      </w:r>
      <w:r>
        <w:rPr>
          <w:noProof/>
          <w:lang w:val="de-DE" w:eastAsia="de-DE"/>
        </w:rPr>
        <w:drawing>
          <wp:inline distT="0" distB="0" distL="0" distR="0">
            <wp:extent cx="3418840" cy="1876425"/>
            <wp:effectExtent l="19050" t="0" r="0" b="0"/>
            <wp:docPr id="18" name="Image 18" descr="Regard R1 f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ard R1 fini"/>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956"/>
                    <a:stretch>
                      <a:fillRect/>
                    </a:stretch>
                  </pic:blipFill>
                  <pic:spPr bwMode="auto">
                    <a:xfrm>
                      <a:off x="0" y="0"/>
                      <a:ext cx="3418840" cy="1876425"/>
                    </a:xfrm>
                    <a:prstGeom prst="rect">
                      <a:avLst/>
                    </a:prstGeom>
                    <a:noFill/>
                    <a:ln>
                      <a:noFill/>
                    </a:ln>
                  </pic:spPr>
                </pic:pic>
              </a:graphicData>
            </a:graphic>
          </wp:inline>
        </w:drawing>
      </w:r>
    </w:p>
    <w:p w:rsidR="00EA653B" w:rsidRDefault="00EA653B" w:rsidP="00EA653B"/>
    <w:p w:rsidR="00AC35F0" w:rsidRDefault="00AC35F0" w:rsidP="00EA653B">
      <w:pPr>
        <w:rPr>
          <w:i/>
          <w:iCs/>
          <w:sz w:val="32"/>
          <w:szCs w:val="32"/>
        </w:rPr>
      </w:pPr>
    </w:p>
    <w:p w:rsidR="00AC35F0" w:rsidRDefault="00AC35F0" w:rsidP="00EA653B">
      <w:pPr>
        <w:rPr>
          <w:i/>
          <w:iCs/>
          <w:sz w:val="32"/>
          <w:szCs w:val="32"/>
        </w:rPr>
      </w:pPr>
    </w:p>
    <w:p w:rsidR="00AC35F0" w:rsidRDefault="00AC35F0" w:rsidP="00EA653B">
      <w:pPr>
        <w:rPr>
          <w:i/>
          <w:iCs/>
          <w:sz w:val="32"/>
          <w:szCs w:val="32"/>
        </w:rPr>
      </w:pPr>
    </w:p>
    <w:p w:rsidR="00AC35F0" w:rsidRDefault="00AC35F0" w:rsidP="00EA653B"/>
    <w:p w:rsidR="00AC35F0" w:rsidRDefault="00AC35F0" w:rsidP="00EA653B"/>
    <w:p w:rsidR="00AC35F0" w:rsidRDefault="00AC35F0" w:rsidP="00EA653B">
      <w:pPr>
        <w:rPr>
          <w:i/>
          <w:iCs/>
          <w:sz w:val="32"/>
          <w:szCs w:val="32"/>
        </w:rPr>
      </w:pPr>
    </w:p>
    <w:p w:rsidR="00AC35F0" w:rsidRPr="00AC35F0" w:rsidRDefault="00AC35F0" w:rsidP="00EA653B">
      <w:pPr>
        <w:rPr>
          <w:i/>
          <w:iCs/>
          <w:sz w:val="16"/>
          <w:szCs w:val="16"/>
        </w:rPr>
      </w:pPr>
    </w:p>
    <w:p w:rsidR="00AC35F0" w:rsidRPr="00AC35F0" w:rsidRDefault="00AC35F0" w:rsidP="00AC35F0">
      <w:pPr>
        <w:pStyle w:val="Listenabsatz"/>
        <w:numPr>
          <w:ilvl w:val="0"/>
          <w:numId w:val="3"/>
        </w:numPr>
        <w:rPr>
          <w:b/>
        </w:rPr>
      </w:pPr>
      <w:r w:rsidRPr="00AC35F0">
        <w:rPr>
          <w:b/>
        </w:rPr>
        <w:t>ELEMENTS DE CHUTE</w:t>
      </w:r>
    </w:p>
    <w:p w:rsidR="00AC35F0" w:rsidRDefault="00AC35F0" w:rsidP="00EA653B">
      <w:pPr>
        <w:rPr>
          <w:i/>
          <w:iCs/>
          <w:sz w:val="32"/>
          <w:szCs w:val="32"/>
        </w:rPr>
      </w:pPr>
    </w:p>
    <w:p w:rsidR="00AC35F0" w:rsidRPr="00AC35F0" w:rsidRDefault="00AC35F0" w:rsidP="00EA653B">
      <w:pPr>
        <w:rPr>
          <w:i/>
          <w:iCs/>
          <w:sz w:val="16"/>
          <w:szCs w:val="16"/>
        </w:rPr>
      </w:pPr>
    </w:p>
    <w:p w:rsidR="00EA653B" w:rsidRPr="00AC35F0" w:rsidRDefault="00EA653B" w:rsidP="00EA653B">
      <w:pPr>
        <w:rPr>
          <w:i/>
          <w:iCs/>
          <w:sz w:val="32"/>
          <w:szCs w:val="32"/>
        </w:rPr>
      </w:pPr>
      <w:r w:rsidRPr="00374441">
        <w:rPr>
          <w:i/>
          <w:iCs/>
          <w:sz w:val="32"/>
          <w:szCs w:val="32"/>
        </w:rPr>
        <w:t>Modèle</w:t>
      </w:r>
      <w:r w:rsidR="00AC35F0">
        <w:rPr>
          <w:i/>
          <w:iCs/>
          <w:sz w:val="32"/>
          <w:szCs w:val="32"/>
        </w:rPr>
        <w:t>s</w:t>
      </w:r>
      <w:r w:rsidRPr="00374441">
        <w:rPr>
          <w:i/>
          <w:iCs/>
          <w:sz w:val="32"/>
          <w:szCs w:val="32"/>
        </w:rPr>
        <w:t xml:space="preserve"> de prescription :</w:t>
      </w:r>
    </w:p>
    <w:p w:rsidR="00540CFC" w:rsidRPr="00AC35F0" w:rsidRDefault="00540CFC" w:rsidP="00EA653B">
      <w:pPr>
        <w:rPr>
          <w:sz w:val="28"/>
          <w:szCs w:val="28"/>
        </w:rPr>
      </w:pPr>
    </w:p>
    <w:p w:rsidR="00EA653B" w:rsidRPr="00AC35F0" w:rsidRDefault="00EA653B" w:rsidP="00EA653B">
      <w:pPr>
        <w:rPr>
          <w:b/>
          <w:sz w:val="28"/>
          <w:szCs w:val="28"/>
        </w:rPr>
      </w:pPr>
      <w:r w:rsidRPr="00AC35F0">
        <w:rPr>
          <w:b/>
          <w:sz w:val="28"/>
          <w:szCs w:val="28"/>
        </w:rPr>
        <w:t>Elément de chute DN 150 PREDL</w:t>
      </w:r>
    </w:p>
    <w:p w:rsidR="00EA653B" w:rsidRPr="00AC35F0" w:rsidRDefault="00EA653B" w:rsidP="00EA653B">
      <w:pPr>
        <w:rPr>
          <w:sz w:val="28"/>
          <w:szCs w:val="28"/>
        </w:rPr>
      </w:pPr>
    </w:p>
    <w:p w:rsidR="00EA653B" w:rsidRPr="00AC35F0" w:rsidRDefault="00EA653B" w:rsidP="00EA653B">
      <w:pPr>
        <w:rPr>
          <w:i/>
          <w:iCs/>
          <w:sz w:val="28"/>
          <w:szCs w:val="28"/>
        </w:rPr>
      </w:pPr>
      <w:r w:rsidRPr="00AC35F0">
        <w:rPr>
          <w:i/>
          <w:iCs/>
          <w:sz w:val="28"/>
          <w:szCs w:val="28"/>
        </w:rPr>
        <w:t>« Chute accompagnée en polyéthylène, réalisée en une seule pièce pour branchement de tuyau DN 150 mm en entrée (ouverture maximum 180 mm) et DN 150mm en descente, avec trou de maintenance ouvert. Adaptable sur regard de visite existant, DN 800 et DN 1000 mm.</w:t>
      </w:r>
    </w:p>
    <w:p w:rsidR="00EA653B" w:rsidRPr="00AC35F0" w:rsidRDefault="00EA653B" w:rsidP="00EA653B">
      <w:pPr>
        <w:rPr>
          <w:i/>
          <w:iCs/>
          <w:sz w:val="28"/>
          <w:szCs w:val="28"/>
        </w:rPr>
      </w:pPr>
      <w:r w:rsidRPr="00AC35F0">
        <w:rPr>
          <w:i/>
          <w:iCs/>
          <w:sz w:val="28"/>
          <w:szCs w:val="28"/>
        </w:rPr>
        <w:t>Fourni avec visserie inoxydable et joint de propreté intérieur. »</w:t>
      </w:r>
    </w:p>
    <w:p w:rsidR="00EA653B" w:rsidRDefault="00EA653B" w:rsidP="00EA653B">
      <w:pPr>
        <w:rPr>
          <w:i/>
          <w:iCs/>
          <w:sz w:val="32"/>
          <w:szCs w:val="32"/>
        </w:rPr>
      </w:pPr>
    </w:p>
    <w:p w:rsidR="00EA653B" w:rsidRDefault="00EA653B" w:rsidP="00EA653B">
      <w:pPr>
        <w:rPr>
          <w:i/>
          <w:iCs/>
          <w:sz w:val="32"/>
          <w:szCs w:val="32"/>
        </w:rPr>
      </w:pPr>
      <w:r>
        <w:rPr>
          <w:i/>
          <w:iCs/>
          <w:noProof/>
          <w:sz w:val="32"/>
          <w:szCs w:val="32"/>
          <w:lang w:val="de-DE" w:eastAsia="de-DE"/>
        </w:rPr>
        <w:drawing>
          <wp:inline distT="0" distB="0" distL="0" distR="0">
            <wp:extent cx="2548890" cy="3616960"/>
            <wp:effectExtent l="19050" t="0" r="3810" b="0"/>
            <wp:docPr id="9" name="Image 9" descr="C:\Documents and Settings\PIETER\Mes documents\Mes images\ControlCenter3\Scan\PREDL IPK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IETER\Mes documents\Mes images\ControlCenter3\Scan\PREDL IPK 150.jpg"/>
                    <pic:cNvPicPr>
                      <a:picLocks noChangeAspect="1" noChangeArrowheads="1"/>
                    </pic:cNvPicPr>
                  </pic:nvPicPr>
                  <pic:blipFill>
                    <a:blip r:embed="rId17" cstate="print"/>
                    <a:srcRect/>
                    <a:stretch>
                      <a:fillRect/>
                    </a:stretch>
                  </pic:blipFill>
                  <pic:spPr bwMode="auto">
                    <a:xfrm>
                      <a:off x="0" y="0"/>
                      <a:ext cx="2548890" cy="3616960"/>
                    </a:xfrm>
                    <a:prstGeom prst="rect">
                      <a:avLst/>
                    </a:prstGeom>
                    <a:noFill/>
                    <a:ln w="9525">
                      <a:noFill/>
                      <a:miter lim="800000"/>
                      <a:headEnd/>
                      <a:tailEnd/>
                    </a:ln>
                  </pic:spPr>
                </pic:pic>
              </a:graphicData>
            </a:graphic>
          </wp:inline>
        </w:drawing>
      </w:r>
      <w:r>
        <w:rPr>
          <w:i/>
          <w:iCs/>
          <w:sz w:val="32"/>
          <w:szCs w:val="32"/>
        </w:rPr>
        <w:t xml:space="preserve"> </w:t>
      </w:r>
    </w:p>
    <w:p w:rsidR="00EA653B" w:rsidRDefault="00EA653B" w:rsidP="00EA653B">
      <w:pPr>
        <w:rPr>
          <w:i/>
          <w:iCs/>
          <w:sz w:val="32"/>
          <w:szCs w:val="32"/>
        </w:rPr>
      </w:pPr>
      <w:r>
        <w:rPr>
          <w:i/>
          <w:iCs/>
          <w:sz w:val="32"/>
          <w:szCs w:val="32"/>
        </w:rPr>
        <w:t xml:space="preserve"> </w:t>
      </w:r>
      <w:r>
        <w:rPr>
          <w:i/>
          <w:iCs/>
          <w:noProof/>
          <w:sz w:val="32"/>
          <w:szCs w:val="32"/>
          <w:lang w:val="de-DE" w:eastAsia="de-DE"/>
        </w:rPr>
        <w:drawing>
          <wp:inline distT="0" distB="0" distL="0" distR="0">
            <wp:extent cx="2192655" cy="2921000"/>
            <wp:effectExtent l="19050" t="0" r="0" b="0"/>
            <wp:docPr id="10" name="Image 10" descr="C:\Documents and Settings\PIETER\Mes documents\Mes images version maigre\IPK\PREDL IPK 150 T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IETER\Mes documents\Mes images version maigre\IPK\PREDL IPK 150 TOP 2.jpg"/>
                    <pic:cNvPicPr>
                      <a:picLocks noChangeAspect="1" noChangeArrowheads="1"/>
                    </pic:cNvPicPr>
                  </pic:nvPicPr>
                  <pic:blipFill>
                    <a:blip r:embed="rId18" cstate="print"/>
                    <a:srcRect/>
                    <a:stretch>
                      <a:fillRect/>
                    </a:stretch>
                  </pic:blipFill>
                  <pic:spPr bwMode="auto">
                    <a:xfrm>
                      <a:off x="0" y="0"/>
                      <a:ext cx="2192655" cy="2921000"/>
                    </a:xfrm>
                    <a:prstGeom prst="rect">
                      <a:avLst/>
                    </a:prstGeom>
                    <a:noFill/>
                    <a:ln w="9525">
                      <a:noFill/>
                      <a:miter lim="800000"/>
                      <a:headEnd/>
                      <a:tailEnd/>
                    </a:ln>
                  </pic:spPr>
                </pic:pic>
              </a:graphicData>
            </a:graphic>
          </wp:inline>
        </w:drawing>
      </w:r>
      <w:r>
        <w:rPr>
          <w:i/>
          <w:iCs/>
          <w:sz w:val="32"/>
          <w:szCs w:val="32"/>
        </w:rPr>
        <w:t xml:space="preserve">     </w:t>
      </w:r>
      <w:r>
        <w:rPr>
          <w:i/>
          <w:iCs/>
          <w:noProof/>
          <w:sz w:val="32"/>
          <w:szCs w:val="32"/>
          <w:lang w:val="de-DE" w:eastAsia="de-DE"/>
        </w:rPr>
        <w:drawing>
          <wp:inline distT="0" distB="0" distL="0" distR="0">
            <wp:extent cx="2999252" cy="2249586"/>
            <wp:effectExtent l="19050" t="0" r="0" b="0"/>
            <wp:docPr id="11" name="Image 11" descr="C:\Documents and Settings\PIETER\Mes documents\Mes images version maigre\IPK\PREDL IPK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IETER\Mes documents\Mes images version maigre\IPK\PREDL IPK 150.jpg"/>
                    <pic:cNvPicPr>
                      <a:picLocks noChangeAspect="1" noChangeArrowheads="1"/>
                    </pic:cNvPicPr>
                  </pic:nvPicPr>
                  <pic:blipFill>
                    <a:blip r:embed="rId19" cstate="print"/>
                    <a:srcRect/>
                    <a:stretch>
                      <a:fillRect/>
                    </a:stretch>
                  </pic:blipFill>
                  <pic:spPr bwMode="auto">
                    <a:xfrm>
                      <a:off x="0" y="0"/>
                      <a:ext cx="2999245" cy="2249580"/>
                    </a:xfrm>
                    <a:prstGeom prst="rect">
                      <a:avLst/>
                    </a:prstGeom>
                    <a:noFill/>
                    <a:ln w="9525">
                      <a:noFill/>
                      <a:miter lim="800000"/>
                      <a:headEnd/>
                      <a:tailEnd/>
                    </a:ln>
                  </pic:spPr>
                </pic:pic>
              </a:graphicData>
            </a:graphic>
          </wp:inline>
        </w:drawing>
      </w:r>
    </w:p>
    <w:p w:rsidR="00EA653B" w:rsidRDefault="00EA653B" w:rsidP="00EA653B">
      <w:pPr>
        <w:rPr>
          <w:i/>
          <w:iCs/>
          <w:sz w:val="32"/>
          <w:szCs w:val="32"/>
        </w:rPr>
      </w:pPr>
    </w:p>
    <w:p w:rsidR="00EA653B" w:rsidRDefault="00EA653B" w:rsidP="00EA653B">
      <w:pPr>
        <w:rPr>
          <w:i/>
          <w:iCs/>
          <w:sz w:val="32"/>
          <w:szCs w:val="32"/>
        </w:rPr>
      </w:pPr>
    </w:p>
    <w:p w:rsidR="00EA653B" w:rsidRPr="00AC35F0" w:rsidRDefault="00EA653B" w:rsidP="00EA653B">
      <w:pPr>
        <w:rPr>
          <w:b/>
          <w:sz w:val="28"/>
          <w:szCs w:val="28"/>
        </w:rPr>
      </w:pPr>
      <w:r w:rsidRPr="00AC35F0">
        <w:rPr>
          <w:b/>
          <w:sz w:val="28"/>
          <w:szCs w:val="28"/>
        </w:rPr>
        <w:t>Elément de chute DN 200 PREDL</w:t>
      </w:r>
    </w:p>
    <w:p w:rsidR="00EA653B" w:rsidRPr="00AC35F0" w:rsidRDefault="00EA653B" w:rsidP="00EA653B">
      <w:pPr>
        <w:rPr>
          <w:sz w:val="28"/>
          <w:szCs w:val="28"/>
        </w:rPr>
      </w:pPr>
    </w:p>
    <w:p w:rsidR="00EA653B" w:rsidRPr="00AC35F0" w:rsidRDefault="00EA653B" w:rsidP="00EA653B">
      <w:pPr>
        <w:rPr>
          <w:i/>
          <w:iCs/>
          <w:sz w:val="28"/>
          <w:szCs w:val="28"/>
        </w:rPr>
      </w:pPr>
      <w:r w:rsidRPr="00AC35F0">
        <w:rPr>
          <w:i/>
          <w:iCs/>
          <w:sz w:val="28"/>
          <w:szCs w:val="28"/>
        </w:rPr>
        <w:t>« Chute accompagnée en polyéthylène, réalisée en une seule pièce + couvercle amovible, rattaché à un câble, pour branchement de tuyau de DN 150 à DN 300 mm en entrée (ouverture maximum 344 mm) et DN 150 à 200 mm en descente. Adaptable sur regard de visite existant, de paroi plate à DN 2 500 mm. (à préciser lors de la commande).</w:t>
      </w:r>
    </w:p>
    <w:p w:rsidR="00EA653B" w:rsidRPr="00AC35F0" w:rsidRDefault="00EA653B" w:rsidP="00EA653B">
      <w:pPr>
        <w:rPr>
          <w:i/>
          <w:iCs/>
          <w:sz w:val="28"/>
          <w:szCs w:val="28"/>
        </w:rPr>
      </w:pPr>
      <w:r w:rsidRPr="00AC35F0">
        <w:rPr>
          <w:i/>
          <w:iCs/>
          <w:sz w:val="28"/>
          <w:szCs w:val="28"/>
        </w:rPr>
        <w:t>Fourni avec visserie inoxydable et joint de propreté intérieur. »</w:t>
      </w:r>
    </w:p>
    <w:p w:rsidR="00EA653B" w:rsidRDefault="00EA653B" w:rsidP="00EA653B">
      <w:pPr>
        <w:rPr>
          <w:i/>
          <w:iCs/>
          <w:sz w:val="32"/>
          <w:szCs w:val="32"/>
        </w:rPr>
      </w:pPr>
    </w:p>
    <w:p w:rsidR="00EA653B" w:rsidRDefault="00EA653B" w:rsidP="00EA653B">
      <w:pPr>
        <w:rPr>
          <w:i/>
          <w:iCs/>
          <w:sz w:val="32"/>
          <w:szCs w:val="32"/>
        </w:rPr>
      </w:pPr>
    </w:p>
    <w:p w:rsidR="00EA653B" w:rsidRDefault="00EA653B" w:rsidP="00EA653B">
      <w:r>
        <w:rPr>
          <w:noProof/>
          <w:lang w:val="de-DE" w:eastAsia="de-DE"/>
        </w:rPr>
        <w:drawing>
          <wp:inline distT="0" distB="0" distL="0" distR="0">
            <wp:extent cx="2872740" cy="4102735"/>
            <wp:effectExtent l="19050" t="0" r="3810" b="0"/>
            <wp:docPr id="19" name="Image 19" descr="C:\Documents and Settings\PIETER\Mes documents\Mes images\ControlCenter3\Scan\Inside Drop DN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IETER\Mes documents\Mes images\ControlCenter3\Scan\Inside Drop DN 200.jpg"/>
                    <pic:cNvPicPr>
                      <a:picLocks noChangeAspect="1" noChangeArrowheads="1"/>
                    </pic:cNvPicPr>
                  </pic:nvPicPr>
                  <pic:blipFill>
                    <a:blip r:embed="rId20" cstate="print"/>
                    <a:srcRect/>
                    <a:stretch>
                      <a:fillRect/>
                    </a:stretch>
                  </pic:blipFill>
                  <pic:spPr bwMode="auto">
                    <a:xfrm>
                      <a:off x="0" y="0"/>
                      <a:ext cx="2872740" cy="4102735"/>
                    </a:xfrm>
                    <a:prstGeom prst="rect">
                      <a:avLst/>
                    </a:prstGeom>
                    <a:noFill/>
                    <a:ln w="9525">
                      <a:noFill/>
                      <a:miter lim="800000"/>
                      <a:headEnd/>
                      <a:tailEnd/>
                    </a:ln>
                  </pic:spPr>
                </pic:pic>
              </a:graphicData>
            </a:graphic>
          </wp:inline>
        </w:drawing>
      </w:r>
    </w:p>
    <w:p w:rsidR="00EA653B" w:rsidRDefault="00EA653B" w:rsidP="00EA653B"/>
    <w:p w:rsidR="00EA653B" w:rsidRDefault="00EA653B" w:rsidP="00EA653B">
      <w:r>
        <w:rPr>
          <w:noProof/>
          <w:lang w:val="de-DE" w:eastAsia="de-DE"/>
        </w:rPr>
        <w:drawing>
          <wp:inline distT="0" distB="0" distL="0" distR="0">
            <wp:extent cx="1613036" cy="2151049"/>
            <wp:effectExtent l="0" t="0" r="0" b="8255"/>
            <wp:docPr id="22" name="Image 22" descr="C:\Documents and Settings\PIETER\Mes documents\Mes images version maigre\IPK\PREDL DROP 200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PIETER\Mes documents\Mes images version maigre\IPK\PREDL DROP 200 SIDE.jpg"/>
                    <pic:cNvPicPr>
                      <a:picLocks noChangeAspect="1" noChangeArrowheads="1"/>
                    </pic:cNvPicPr>
                  </pic:nvPicPr>
                  <pic:blipFill>
                    <a:blip r:embed="rId21" cstate="print"/>
                    <a:srcRect/>
                    <a:stretch>
                      <a:fillRect/>
                    </a:stretch>
                  </pic:blipFill>
                  <pic:spPr bwMode="auto">
                    <a:xfrm>
                      <a:off x="0" y="0"/>
                      <a:ext cx="1613036" cy="2151049"/>
                    </a:xfrm>
                    <a:prstGeom prst="rect">
                      <a:avLst/>
                    </a:prstGeom>
                    <a:noFill/>
                    <a:ln w="9525">
                      <a:noFill/>
                      <a:miter lim="800000"/>
                      <a:headEnd/>
                      <a:tailEnd/>
                    </a:ln>
                  </pic:spPr>
                </pic:pic>
              </a:graphicData>
            </a:graphic>
          </wp:inline>
        </w:drawing>
      </w:r>
      <w:r>
        <w:t xml:space="preserve">                                     </w:t>
      </w:r>
      <w:r>
        <w:rPr>
          <w:noProof/>
          <w:lang w:val="de-DE" w:eastAsia="de-DE"/>
        </w:rPr>
        <w:drawing>
          <wp:inline distT="0" distB="0" distL="0" distR="0">
            <wp:extent cx="1613036" cy="2151049"/>
            <wp:effectExtent l="0" t="0" r="0" b="8255"/>
            <wp:docPr id="24" name="Image 24" descr="C:\Documents and Settings\PIETER\Mes documents\Mes images version maigre\IPK\PRELD DROP 200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PIETER\Mes documents\Mes images version maigre\IPK\PRELD DROP 200 BACK.jpg"/>
                    <pic:cNvPicPr>
                      <a:picLocks noChangeAspect="1" noChangeArrowheads="1"/>
                    </pic:cNvPicPr>
                  </pic:nvPicPr>
                  <pic:blipFill>
                    <a:blip r:embed="rId22" cstate="print"/>
                    <a:srcRect/>
                    <a:stretch>
                      <a:fillRect/>
                    </a:stretch>
                  </pic:blipFill>
                  <pic:spPr bwMode="auto">
                    <a:xfrm>
                      <a:off x="0" y="0"/>
                      <a:ext cx="1613036" cy="2151049"/>
                    </a:xfrm>
                    <a:prstGeom prst="rect">
                      <a:avLst/>
                    </a:prstGeom>
                    <a:noFill/>
                    <a:ln w="9525">
                      <a:noFill/>
                      <a:miter lim="800000"/>
                      <a:headEnd/>
                      <a:tailEnd/>
                    </a:ln>
                  </pic:spPr>
                </pic:pic>
              </a:graphicData>
            </a:graphic>
          </wp:inline>
        </w:drawing>
      </w:r>
    </w:p>
    <w:p w:rsidR="00EA653B" w:rsidRDefault="00EA653B" w:rsidP="00EA653B"/>
    <w:p w:rsidR="00EA653B" w:rsidRDefault="00EA653B" w:rsidP="00EA653B"/>
    <w:p w:rsidR="00540CFC" w:rsidRDefault="00540CFC" w:rsidP="00EA653B">
      <w:pPr>
        <w:ind w:left="4248" w:right="-432" w:firstLine="708"/>
      </w:pPr>
    </w:p>
    <w:p w:rsidR="00540CFC" w:rsidRDefault="00540CFC" w:rsidP="00EA653B">
      <w:pPr>
        <w:ind w:left="4248" w:right="-432" w:firstLine="708"/>
      </w:pPr>
    </w:p>
    <w:p w:rsidR="00540CFC" w:rsidRDefault="00540CFC" w:rsidP="00EA653B">
      <w:pPr>
        <w:ind w:left="4248" w:right="-432" w:firstLine="708"/>
      </w:pPr>
    </w:p>
    <w:p w:rsidR="00540CFC" w:rsidRDefault="00540CFC" w:rsidP="00EA653B">
      <w:pPr>
        <w:ind w:left="4248" w:right="-432" w:firstLine="708"/>
      </w:pPr>
    </w:p>
    <w:p w:rsidR="00AC35F0" w:rsidRDefault="00EA653B" w:rsidP="00AC35F0">
      <w:pPr>
        <w:ind w:left="4248" w:right="-432" w:firstLine="1139"/>
      </w:pPr>
      <w:r>
        <w:tab/>
      </w:r>
      <w:r>
        <w:tab/>
      </w:r>
      <w:r>
        <w:tab/>
      </w:r>
      <w:r>
        <w:tab/>
      </w:r>
      <w:r>
        <w:tab/>
        <w:t>A 8</w:t>
      </w:r>
    </w:p>
    <w:p w:rsidR="00AC35F0" w:rsidRPr="00AC35F0" w:rsidRDefault="00AC35F0" w:rsidP="00AC35F0">
      <w:pPr>
        <w:ind w:left="4248" w:right="-432" w:hanging="4248"/>
        <w:rPr>
          <w:b/>
        </w:rPr>
      </w:pPr>
      <w:r w:rsidRPr="00AC35F0">
        <w:rPr>
          <w:b/>
        </w:rPr>
        <w:t>5) REGARD DUPLEX-PREDL MONOBLOC A PAROI DOUBLE DN 1000</w:t>
      </w:r>
    </w:p>
    <w:p w:rsidR="00AC35F0" w:rsidRPr="00137D87" w:rsidRDefault="00AC35F0" w:rsidP="00AC35F0">
      <w:pPr>
        <w:ind w:left="4248" w:right="-432" w:hanging="4248"/>
        <w:rPr>
          <w:sz w:val="16"/>
          <w:szCs w:val="16"/>
        </w:rPr>
      </w:pPr>
    </w:p>
    <w:p w:rsidR="00AC35F0" w:rsidRPr="00AC35F0" w:rsidRDefault="00AC35F0" w:rsidP="00AC35F0">
      <w:pPr>
        <w:rPr>
          <w:i/>
          <w:iCs/>
        </w:rPr>
      </w:pPr>
      <w:r w:rsidRPr="00AC35F0">
        <w:rPr>
          <w:i/>
          <w:iCs/>
        </w:rPr>
        <w:t>Modèles de prescription :</w:t>
      </w:r>
    </w:p>
    <w:p w:rsidR="00AC35F0" w:rsidRDefault="00AC35F0" w:rsidP="00AC35F0">
      <w:pPr>
        <w:ind w:left="4248" w:right="-432" w:hanging="4248"/>
        <w:rPr>
          <w:sz w:val="22"/>
          <w:szCs w:val="22"/>
        </w:rPr>
      </w:pPr>
    </w:p>
    <w:p w:rsidR="00EA653B" w:rsidRPr="00EA653B" w:rsidRDefault="00EA653B" w:rsidP="00AC35F0">
      <w:pPr>
        <w:ind w:left="4248" w:right="-432" w:hanging="4248"/>
        <w:rPr>
          <w:sz w:val="22"/>
          <w:szCs w:val="22"/>
        </w:rPr>
      </w:pPr>
      <w:r w:rsidRPr="00EA653B">
        <w:rPr>
          <w:sz w:val="22"/>
          <w:szCs w:val="22"/>
        </w:rPr>
        <w:t>Projet :</w:t>
      </w:r>
    </w:p>
    <w:p w:rsidR="00EA653B" w:rsidRPr="00EA653B" w:rsidRDefault="00EA653B" w:rsidP="00EA653B">
      <w:pPr>
        <w:rPr>
          <w:sz w:val="22"/>
          <w:szCs w:val="22"/>
        </w:rPr>
      </w:pPr>
      <w:r w:rsidRPr="00EA653B">
        <w:rPr>
          <w:sz w:val="22"/>
          <w:szCs w:val="22"/>
        </w:rPr>
        <w:t xml:space="preserve">Descriptif : </w:t>
      </w:r>
    </w:p>
    <w:p w:rsidR="00EA653B" w:rsidRPr="00137D87" w:rsidRDefault="00EA653B" w:rsidP="00EA653B">
      <w:pPr>
        <w:rPr>
          <w:sz w:val="16"/>
          <w:szCs w:val="16"/>
        </w:rPr>
      </w:pPr>
    </w:p>
    <w:p w:rsidR="00EA653B" w:rsidRPr="00EA653B" w:rsidRDefault="00EA653B" w:rsidP="00EA653B">
      <w:pPr>
        <w:rPr>
          <w:sz w:val="22"/>
          <w:szCs w:val="22"/>
        </w:rPr>
      </w:pPr>
      <w:r w:rsidRPr="00EA653B">
        <w:rPr>
          <w:sz w:val="22"/>
          <w:szCs w:val="22"/>
        </w:rPr>
        <w:t>OZ</w:t>
      </w:r>
      <w:r w:rsidRPr="00EA653B">
        <w:rPr>
          <w:sz w:val="22"/>
          <w:szCs w:val="22"/>
        </w:rPr>
        <w:tab/>
        <w:t>Quantité</w:t>
      </w:r>
      <w:r w:rsidRPr="00EA653B">
        <w:rPr>
          <w:sz w:val="22"/>
          <w:szCs w:val="22"/>
        </w:rPr>
        <w:tab/>
        <w:t>Unité</w:t>
      </w:r>
      <w:r w:rsidRPr="00EA653B">
        <w:rPr>
          <w:sz w:val="22"/>
          <w:szCs w:val="22"/>
        </w:rPr>
        <w:tab/>
      </w:r>
      <w:r w:rsidRPr="00EA653B">
        <w:rPr>
          <w:sz w:val="22"/>
          <w:szCs w:val="22"/>
        </w:rPr>
        <w:tab/>
      </w:r>
      <w:r w:rsidRPr="00EA653B">
        <w:rPr>
          <w:sz w:val="22"/>
          <w:szCs w:val="22"/>
        </w:rPr>
        <w:tab/>
      </w:r>
      <w:r w:rsidRPr="00EA653B">
        <w:rPr>
          <w:sz w:val="22"/>
          <w:szCs w:val="22"/>
        </w:rPr>
        <w:tab/>
      </w:r>
      <w:r w:rsidRPr="00EA653B">
        <w:rPr>
          <w:sz w:val="22"/>
          <w:szCs w:val="22"/>
        </w:rPr>
        <w:tab/>
        <w:t>Prix unitaire</w:t>
      </w:r>
      <w:r w:rsidRPr="00EA653B">
        <w:rPr>
          <w:sz w:val="22"/>
          <w:szCs w:val="22"/>
        </w:rPr>
        <w:tab/>
      </w:r>
      <w:r w:rsidRPr="00EA653B">
        <w:rPr>
          <w:sz w:val="22"/>
          <w:szCs w:val="22"/>
        </w:rPr>
        <w:tab/>
        <w:t>Prix total</w:t>
      </w:r>
    </w:p>
    <w:p w:rsidR="00EA653B" w:rsidRPr="00EA653B" w:rsidRDefault="00EA653B" w:rsidP="00EA653B">
      <w:pPr>
        <w:rPr>
          <w:sz w:val="22"/>
          <w:szCs w:val="22"/>
        </w:rPr>
      </w:pPr>
    </w:p>
    <w:p w:rsidR="00EA653B" w:rsidRPr="00EA653B" w:rsidRDefault="00EA653B" w:rsidP="00EA653B">
      <w:pPr>
        <w:rPr>
          <w:sz w:val="22"/>
          <w:szCs w:val="22"/>
        </w:rPr>
      </w:pPr>
      <w:r w:rsidRPr="00EA653B">
        <w:rPr>
          <w:sz w:val="22"/>
          <w:szCs w:val="22"/>
        </w:rPr>
        <w:t xml:space="preserve">01                      </w:t>
      </w:r>
      <w:r w:rsidRPr="00EA653B">
        <w:rPr>
          <w:b/>
          <w:sz w:val="22"/>
          <w:szCs w:val="22"/>
        </w:rPr>
        <w:t>Regard DUPLEX-Predl DN 1000 Monobloc à double paroi</w:t>
      </w:r>
    </w:p>
    <w:p w:rsidR="00EA653B" w:rsidRPr="00137D87" w:rsidRDefault="00EA653B" w:rsidP="00EA653B">
      <w:pPr>
        <w:rPr>
          <w:sz w:val="8"/>
          <w:szCs w:val="8"/>
        </w:rPr>
      </w:pPr>
      <w:r w:rsidRPr="00137D87">
        <w:rPr>
          <w:sz w:val="8"/>
          <w:szCs w:val="8"/>
        </w:rPr>
        <w:tab/>
      </w:r>
      <w:r w:rsidRPr="00137D87">
        <w:rPr>
          <w:sz w:val="8"/>
          <w:szCs w:val="8"/>
        </w:rPr>
        <w:tab/>
      </w:r>
      <w:r w:rsidRPr="00137D87">
        <w:rPr>
          <w:sz w:val="8"/>
          <w:szCs w:val="8"/>
        </w:rPr>
        <w:tab/>
      </w:r>
    </w:p>
    <w:p w:rsidR="00EA653B" w:rsidRPr="00EA653B" w:rsidRDefault="00EA653B" w:rsidP="00EA653B">
      <w:pPr>
        <w:ind w:left="1416"/>
        <w:rPr>
          <w:sz w:val="22"/>
          <w:szCs w:val="22"/>
        </w:rPr>
      </w:pPr>
      <w:r w:rsidRPr="00EA653B">
        <w:rPr>
          <w:sz w:val="22"/>
          <w:szCs w:val="22"/>
        </w:rPr>
        <w:t>Regard pour l’assainissement DN 1000 en polypropylène ou polyéthylène conforme à la norme DIN 13598-2, domaine d’application charges lourdes (SLW 60). Sécurisé contre la poussée hydrostatique grâce à sa base à débordement et à sa structure à double paroi creuse, dans le sens horizontal et vertical, et qui peut être rempli pour lestage (avec du béton par ex.).</w:t>
      </w:r>
    </w:p>
    <w:p w:rsidR="00EA653B" w:rsidRPr="00EA653B" w:rsidRDefault="00EA653B" w:rsidP="00EA653B">
      <w:pPr>
        <w:ind w:left="1416"/>
        <w:rPr>
          <w:sz w:val="22"/>
          <w:szCs w:val="22"/>
        </w:rPr>
      </w:pPr>
      <w:r w:rsidRPr="00EA653B">
        <w:rPr>
          <w:sz w:val="22"/>
          <w:szCs w:val="22"/>
        </w:rPr>
        <w:t>L’écartement minimum entre les nervures de la paroi extérieure est de 40 mm avec une ouverture à 45°.</w:t>
      </w:r>
    </w:p>
    <w:p w:rsidR="00EA653B" w:rsidRPr="00EA653B" w:rsidRDefault="00EA653B" w:rsidP="00EA653B">
      <w:pPr>
        <w:ind w:left="1416"/>
        <w:rPr>
          <w:sz w:val="22"/>
          <w:szCs w:val="22"/>
        </w:rPr>
      </w:pPr>
      <w:r w:rsidRPr="00EA653B">
        <w:rPr>
          <w:sz w:val="22"/>
          <w:szCs w:val="22"/>
        </w:rPr>
        <w:t>Anneaux et cône sont munis d’un rail de fixation moulé dans la masse pour recevoir une échelle en option conformément aux exigences de sécurité (caisse d’assurance et de prévention des accidents du travail et des maladies professionnelles en Allemagne). Le cône est constitué d’un télescope ajustable en hauteur et inclinable pour s’ajuster précisément à la pente de la chaussée.</w:t>
      </w:r>
    </w:p>
    <w:p w:rsidR="00EA653B" w:rsidRPr="00EA653B" w:rsidRDefault="00EA653B" w:rsidP="00EA653B">
      <w:pPr>
        <w:ind w:left="1416"/>
        <w:rPr>
          <w:sz w:val="22"/>
          <w:szCs w:val="22"/>
        </w:rPr>
      </w:pPr>
      <w:r w:rsidRPr="00EA653B">
        <w:rPr>
          <w:sz w:val="22"/>
          <w:szCs w:val="22"/>
        </w:rPr>
        <w:t>Elément de base équipé d’un fond de regard en PP ou en PE comprenant  un canal toute hauteur de tuyau avec une banquette antidérapante ainsi que des manchons pour un branchement étanche des tuyaux d’assainissement usuels.</w:t>
      </w:r>
    </w:p>
    <w:p w:rsidR="00EA653B" w:rsidRPr="00EA653B" w:rsidRDefault="00EA653B" w:rsidP="00EA653B">
      <w:pPr>
        <w:ind w:left="1416"/>
        <w:rPr>
          <w:sz w:val="22"/>
          <w:szCs w:val="22"/>
        </w:rPr>
      </w:pPr>
      <w:r w:rsidRPr="00EA653B">
        <w:rPr>
          <w:sz w:val="22"/>
          <w:szCs w:val="22"/>
        </w:rPr>
        <w:t>Eléments vissés entre eux avec des pièces de liaison, livrés montés et sans remplissage jusqu’à une hauteur utile de 2 m. Pour des plus grandes profondeurs, les éléments peuvent être livrés pré-assemblés jusqu’à une hauteur hors tout de 2m30.</w:t>
      </w:r>
    </w:p>
    <w:p w:rsidR="00EA653B" w:rsidRPr="00EA653B" w:rsidRDefault="00EA653B" w:rsidP="00EA653B">
      <w:pPr>
        <w:ind w:left="1416"/>
        <w:rPr>
          <w:sz w:val="22"/>
          <w:szCs w:val="22"/>
        </w:rPr>
      </w:pPr>
      <w:r w:rsidRPr="00EA653B">
        <w:rPr>
          <w:sz w:val="22"/>
          <w:szCs w:val="22"/>
        </w:rPr>
        <w:t xml:space="preserve">Joints d’étanchéité élastomères conformes à la norme DIN EN 681-1. </w:t>
      </w:r>
    </w:p>
    <w:p w:rsidR="00EA653B" w:rsidRPr="00137D87" w:rsidRDefault="00EA653B" w:rsidP="00EA653B">
      <w:pPr>
        <w:ind w:left="1416"/>
        <w:rPr>
          <w:sz w:val="12"/>
          <w:szCs w:val="12"/>
        </w:rPr>
      </w:pPr>
    </w:p>
    <w:p w:rsidR="00EA653B" w:rsidRPr="00EA653B" w:rsidRDefault="00EA653B" w:rsidP="00EA653B">
      <w:pPr>
        <w:ind w:left="1416"/>
        <w:rPr>
          <w:sz w:val="22"/>
          <w:szCs w:val="22"/>
        </w:rPr>
      </w:pPr>
      <w:r w:rsidRPr="00EA653B">
        <w:rPr>
          <w:sz w:val="22"/>
          <w:szCs w:val="22"/>
        </w:rPr>
        <w:t>Dalle de répartition de charge en béton avec réservation pour recevoir un tampon standard de type LW 625.</w:t>
      </w:r>
    </w:p>
    <w:p w:rsidR="00EA653B" w:rsidRPr="00137D87" w:rsidRDefault="00EA653B" w:rsidP="00EA653B">
      <w:pPr>
        <w:ind w:left="2124"/>
        <w:rPr>
          <w:sz w:val="12"/>
          <w:szCs w:val="12"/>
        </w:rPr>
      </w:pPr>
    </w:p>
    <w:p w:rsidR="00EA653B" w:rsidRPr="00EA653B" w:rsidRDefault="00EA653B" w:rsidP="00EA653B">
      <w:pPr>
        <w:ind w:left="708" w:firstLine="708"/>
        <w:rPr>
          <w:sz w:val="22"/>
          <w:szCs w:val="22"/>
        </w:rPr>
      </w:pPr>
      <w:r w:rsidRPr="00EA653B">
        <w:rPr>
          <w:sz w:val="22"/>
          <w:szCs w:val="22"/>
        </w:rPr>
        <w:t>Profondeur utile maximale : …..m</w:t>
      </w:r>
    </w:p>
    <w:p w:rsidR="00EA653B" w:rsidRPr="00EA653B" w:rsidRDefault="00EA653B" w:rsidP="00EA653B">
      <w:pPr>
        <w:ind w:left="708" w:firstLine="708"/>
        <w:rPr>
          <w:sz w:val="22"/>
          <w:szCs w:val="22"/>
        </w:rPr>
      </w:pPr>
      <w:r w:rsidRPr="00EA653B">
        <w:rPr>
          <w:sz w:val="22"/>
          <w:szCs w:val="22"/>
        </w:rPr>
        <w:t>Tuyaux à raccorder :</w:t>
      </w:r>
    </w:p>
    <w:p w:rsidR="00EA653B" w:rsidRPr="00EA653B" w:rsidRDefault="00EA653B" w:rsidP="00EA653B">
      <w:pPr>
        <w:ind w:left="708" w:firstLine="708"/>
        <w:rPr>
          <w:sz w:val="22"/>
          <w:szCs w:val="22"/>
        </w:rPr>
      </w:pPr>
      <w:r w:rsidRPr="00EA653B">
        <w:rPr>
          <w:sz w:val="22"/>
          <w:szCs w:val="22"/>
        </w:rPr>
        <w:t>Pente standard : 1%</w:t>
      </w:r>
    </w:p>
    <w:p w:rsidR="00EA653B" w:rsidRPr="00137D87" w:rsidRDefault="00EA653B" w:rsidP="00EA653B">
      <w:pPr>
        <w:ind w:left="2124"/>
        <w:rPr>
          <w:sz w:val="12"/>
          <w:szCs w:val="12"/>
        </w:rPr>
      </w:pPr>
    </w:p>
    <w:p w:rsidR="00EA653B" w:rsidRPr="00EA653B" w:rsidRDefault="00EA653B" w:rsidP="00EA653B">
      <w:pPr>
        <w:ind w:left="1416"/>
        <w:rPr>
          <w:sz w:val="22"/>
          <w:szCs w:val="22"/>
        </w:rPr>
      </w:pPr>
      <w:r w:rsidRPr="00EA653B">
        <w:rPr>
          <w:sz w:val="22"/>
          <w:szCs w:val="22"/>
        </w:rPr>
        <w:t>Toute livraison et montage du regard doit être réalisé conformément aux instructions du fabricant.</w:t>
      </w:r>
    </w:p>
    <w:p w:rsidR="00EA653B" w:rsidRPr="00137D87" w:rsidRDefault="00EA653B" w:rsidP="00EA653B">
      <w:pPr>
        <w:ind w:left="2124"/>
        <w:rPr>
          <w:sz w:val="12"/>
          <w:szCs w:val="12"/>
        </w:rPr>
      </w:pPr>
      <w:r w:rsidRPr="00137D87">
        <w:rPr>
          <w:sz w:val="12"/>
          <w:szCs w:val="12"/>
        </w:rPr>
        <w:t xml:space="preserve">  </w:t>
      </w:r>
    </w:p>
    <w:p w:rsidR="00EA653B" w:rsidRPr="00EA653B" w:rsidRDefault="00EA653B" w:rsidP="00EA653B">
      <w:pPr>
        <w:ind w:left="708" w:firstLine="708"/>
        <w:rPr>
          <w:sz w:val="22"/>
          <w:szCs w:val="22"/>
        </w:rPr>
      </w:pPr>
      <w:r w:rsidRPr="00EA653B">
        <w:rPr>
          <w:sz w:val="22"/>
          <w:szCs w:val="22"/>
        </w:rPr>
        <w:t>Système : Regard DUPLEX-PREDL DN 1000 ou équivalent.</w:t>
      </w:r>
    </w:p>
    <w:p w:rsidR="00EA653B" w:rsidRPr="00EA653B" w:rsidRDefault="00EA653B" w:rsidP="00EA653B">
      <w:pPr>
        <w:ind w:left="2124"/>
        <w:rPr>
          <w:sz w:val="22"/>
          <w:szCs w:val="22"/>
        </w:rPr>
      </w:pPr>
    </w:p>
    <w:p w:rsidR="00EA653B" w:rsidRPr="00EA653B" w:rsidRDefault="00EA653B" w:rsidP="00EA653B">
      <w:pPr>
        <w:ind w:left="708" w:firstLine="708"/>
        <w:rPr>
          <w:b/>
          <w:sz w:val="22"/>
          <w:szCs w:val="22"/>
          <w:u w:val="single"/>
        </w:rPr>
      </w:pPr>
      <w:r w:rsidRPr="00EA653B">
        <w:rPr>
          <w:b/>
          <w:sz w:val="22"/>
          <w:szCs w:val="22"/>
          <w:u w:val="single"/>
        </w:rPr>
        <w:t xml:space="preserve">Suppléments : </w:t>
      </w:r>
    </w:p>
    <w:p w:rsidR="00EA653B" w:rsidRPr="00EA653B" w:rsidRDefault="00EA653B" w:rsidP="00EA653B">
      <w:pPr>
        <w:rPr>
          <w:sz w:val="16"/>
          <w:szCs w:val="16"/>
        </w:rPr>
      </w:pPr>
    </w:p>
    <w:p w:rsidR="00EA653B" w:rsidRPr="00EA653B" w:rsidRDefault="00EA653B" w:rsidP="00EA653B">
      <w:pPr>
        <w:rPr>
          <w:sz w:val="22"/>
          <w:szCs w:val="22"/>
        </w:rPr>
      </w:pPr>
      <w:r w:rsidRPr="00EA653B">
        <w:rPr>
          <w:sz w:val="22"/>
          <w:szCs w:val="22"/>
        </w:rPr>
        <w:t>01.02</w:t>
      </w:r>
      <w:r w:rsidRPr="00EA653B">
        <w:rPr>
          <w:sz w:val="22"/>
          <w:szCs w:val="22"/>
        </w:rPr>
        <w:tab/>
      </w:r>
      <w:r w:rsidRPr="00EA653B">
        <w:rPr>
          <w:sz w:val="22"/>
          <w:szCs w:val="22"/>
        </w:rPr>
        <w:tab/>
        <w:t>Supplément pour angle dans cunette</w:t>
      </w:r>
    </w:p>
    <w:p w:rsidR="00EA653B" w:rsidRPr="00EA653B" w:rsidRDefault="00EA653B" w:rsidP="00EA653B">
      <w:pPr>
        <w:rPr>
          <w:sz w:val="16"/>
          <w:szCs w:val="16"/>
        </w:rPr>
      </w:pPr>
    </w:p>
    <w:p w:rsidR="00EA653B" w:rsidRPr="00EA653B" w:rsidRDefault="00EA653B" w:rsidP="00EA653B">
      <w:pPr>
        <w:rPr>
          <w:sz w:val="22"/>
          <w:szCs w:val="22"/>
        </w:rPr>
      </w:pPr>
      <w:r w:rsidRPr="00EA653B">
        <w:rPr>
          <w:sz w:val="22"/>
          <w:szCs w:val="22"/>
        </w:rPr>
        <w:t>01.03</w:t>
      </w:r>
      <w:r w:rsidRPr="00EA653B">
        <w:rPr>
          <w:sz w:val="22"/>
          <w:szCs w:val="22"/>
        </w:rPr>
        <w:tab/>
      </w:r>
      <w:r w:rsidRPr="00EA653B">
        <w:rPr>
          <w:sz w:val="22"/>
          <w:szCs w:val="22"/>
        </w:rPr>
        <w:tab/>
        <w:t>Supplément pour arrivée supplémentaire non-standard DN….</w:t>
      </w:r>
    </w:p>
    <w:p w:rsidR="00EA653B" w:rsidRPr="00EA653B" w:rsidRDefault="00EA653B" w:rsidP="00EA653B">
      <w:pPr>
        <w:rPr>
          <w:sz w:val="16"/>
          <w:szCs w:val="16"/>
        </w:rPr>
      </w:pPr>
    </w:p>
    <w:p w:rsidR="00EA653B" w:rsidRPr="00EA653B" w:rsidRDefault="00EA653B" w:rsidP="00EA653B">
      <w:pPr>
        <w:rPr>
          <w:rFonts w:ascii="Cambria" w:hAnsi="Cambria"/>
          <w:sz w:val="22"/>
          <w:szCs w:val="22"/>
        </w:rPr>
      </w:pPr>
      <w:r w:rsidRPr="00EA653B">
        <w:rPr>
          <w:sz w:val="22"/>
          <w:szCs w:val="22"/>
        </w:rPr>
        <w:t>01.04</w:t>
      </w:r>
      <w:r w:rsidRPr="00EA653B">
        <w:rPr>
          <w:sz w:val="22"/>
          <w:szCs w:val="22"/>
        </w:rPr>
        <w:tab/>
      </w:r>
      <w:r w:rsidRPr="00EA653B">
        <w:rPr>
          <w:sz w:val="22"/>
          <w:szCs w:val="22"/>
        </w:rPr>
        <w:tab/>
        <w:t xml:space="preserve">Supplément pour pente dans le manchon </w:t>
      </w:r>
      <w:r w:rsidRPr="00EA653B">
        <w:rPr>
          <w:sz w:val="22"/>
          <w:szCs w:val="22"/>
        </w:rPr>
        <w:tab/>
        <w:t xml:space="preserve">  DN 150</w:t>
      </w:r>
      <w:r w:rsidRPr="00EA653B">
        <w:rPr>
          <w:sz w:val="22"/>
          <w:szCs w:val="22"/>
        </w:rPr>
        <w:tab/>
      </w:r>
      <w:r w:rsidRPr="00EA653B">
        <w:rPr>
          <w:sz w:val="22"/>
          <w:szCs w:val="22"/>
        </w:rPr>
        <w:tab/>
      </w:r>
      <w:r w:rsidRPr="00EA653B">
        <w:rPr>
          <w:rFonts w:ascii="Cambria" w:hAnsi="Cambria"/>
          <w:sz w:val="22"/>
          <w:szCs w:val="22"/>
        </w:rPr>
        <w:t>≥ 4% - 10%</w:t>
      </w:r>
    </w:p>
    <w:p w:rsidR="00EA653B" w:rsidRPr="00474896" w:rsidRDefault="00EA653B" w:rsidP="00EA653B">
      <w:pPr>
        <w:rPr>
          <w:sz w:val="22"/>
          <w:szCs w:val="22"/>
        </w:rPr>
      </w:pP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t xml:space="preserve">  DN 200</w:t>
      </w:r>
      <w:r w:rsidRPr="00474896">
        <w:rPr>
          <w:sz w:val="22"/>
          <w:szCs w:val="22"/>
        </w:rPr>
        <w:tab/>
      </w:r>
      <w:r w:rsidRPr="00474896">
        <w:rPr>
          <w:sz w:val="22"/>
          <w:szCs w:val="22"/>
        </w:rPr>
        <w:tab/>
      </w:r>
      <w:r w:rsidRPr="00474896">
        <w:rPr>
          <w:rFonts w:ascii="Cambria" w:hAnsi="Cambria"/>
          <w:sz w:val="22"/>
          <w:szCs w:val="22"/>
        </w:rPr>
        <w:t>≥</w:t>
      </w:r>
      <w:r w:rsidRPr="00474896">
        <w:rPr>
          <w:sz w:val="22"/>
          <w:szCs w:val="22"/>
        </w:rPr>
        <w:t xml:space="preserve"> 3%  -10 %</w:t>
      </w:r>
    </w:p>
    <w:p w:rsidR="00EA653B" w:rsidRPr="00474896" w:rsidRDefault="00EA653B" w:rsidP="00EA653B">
      <w:pPr>
        <w:ind w:left="3540"/>
        <w:rPr>
          <w:sz w:val="22"/>
          <w:szCs w:val="22"/>
        </w:rPr>
      </w:pPr>
      <w:r w:rsidRPr="00474896">
        <w:rPr>
          <w:sz w:val="22"/>
          <w:szCs w:val="22"/>
        </w:rPr>
        <w:t xml:space="preserve">           </w:t>
      </w:r>
      <w:r w:rsidRPr="00474896">
        <w:rPr>
          <w:sz w:val="22"/>
          <w:szCs w:val="22"/>
        </w:rPr>
        <w:tab/>
      </w:r>
      <w:r w:rsidRPr="00474896">
        <w:rPr>
          <w:sz w:val="22"/>
          <w:szCs w:val="22"/>
        </w:rPr>
        <w:tab/>
      </w:r>
      <w:r w:rsidRPr="00474896">
        <w:rPr>
          <w:sz w:val="22"/>
          <w:szCs w:val="22"/>
        </w:rPr>
        <w:tab/>
        <w:t xml:space="preserve">  DN 250 / 300 </w:t>
      </w:r>
      <w:r w:rsidRPr="00474896">
        <w:rPr>
          <w:sz w:val="22"/>
          <w:szCs w:val="22"/>
        </w:rPr>
        <w:tab/>
      </w:r>
      <w:r w:rsidRPr="00474896">
        <w:rPr>
          <w:rFonts w:ascii="Cambria" w:hAnsi="Cambria"/>
          <w:sz w:val="22"/>
          <w:szCs w:val="22"/>
        </w:rPr>
        <w:t>≥</w:t>
      </w:r>
      <w:r w:rsidRPr="00474896">
        <w:rPr>
          <w:sz w:val="22"/>
          <w:szCs w:val="22"/>
        </w:rPr>
        <w:t xml:space="preserve"> 2%  -10 %</w:t>
      </w:r>
    </w:p>
    <w:p w:rsidR="00EA653B" w:rsidRPr="00EA653B" w:rsidRDefault="00EA653B" w:rsidP="00EA653B">
      <w:pPr>
        <w:rPr>
          <w:sz w:val="16"/>
          <w:szCs w:val="16"/>
        </w:rPr>
      </w:pPr>
    </w:p>
    <w:p w:rsidR="00EA653B" w:rsidRPr="00EA653B" w:rsidRDefault="00EA653B" w:rsidP="00EA653B">
      <w:pPr>
        <w:rPr>
          <w:sz w:val="22"/>
          <w:szCs w:val="22"/>
        </w:rPr>
      </w:pPr>
      <w:r w:rsidRPr="00EA653B">
        <w:rPr>
          <w:sz w:val="22"/>
          <w:szCs w:val="22"/>
        </w:rPr>
        <w:t>01.05</w:t>
      </w:r>
      <w:r w:rsidRPr="00EA653B">
        <w:rPr>
          <w:sz w:val="22"/>
          <w:szCs w:val="22"/>
        </w:rPr>
        <w:tab/>
      </w:r>
      <w:r w:rsidRPr="00EA653B">
        <w:rPr>
          <w:sz w:val="22"/>
          <w:szCs w:val="22"/>
        </w:rPr>
        <w:tab/>
        <w:t xml:space="preserve">Supplément pour pente dans le conduit principal </w:t>
      </w:r>
      <w:r w:rsidRPr="00EA653B">
        <w:rPr>
          <w:rFonts w:ascii="Cambria" w:hAnsi="Cambria"/>
          <w:sz w:val="22"/>
          <w:szCs w:val="22"/>
        </w:rPr>
        <w:t>&gt;</w:t>
      </w:r>
      <w:r w:rsidRPr="00EA653B">
        <w:rPr>
          <w:sz w:val="22"/>
          <w:szCs w:val="22"/>
        </w:rPr>
        <w:t xml:space="preserve"> 1% jusqu’à maxi. 10 %</w:t>
      </w:r>
    </w:p>
    <w:p w:rsidR="00EA653B" w:rsidRPr="00EA653B" w:rsidRDefault="00EA653B" w:rsidP="00EA653B">
      <w:pPr>
        <w:rPr>
          <w:sz w:val="16"/>
          <w:szCs w:val="16"/>
        </w:rPr>
      </w:pPr>
    </w:p>
    <w:p w:rsidR="00EA653B" w:rsidRPr="00EA653B" w:rsidRDefault="00EA653B" w:rsidP="00EA653B">
      <w:pPr>
        <w:ind w:left="1416" w:right="-715" w:hanging="1416"/>
        <w:rPr>
          <w:sz w:val="22"/>
          <w:szCs w:val="22"/>
        </w:rPr>
      </w:pPr>
      <w:r w:rsidRPr="00EA653B">
        <w:rPr>
          <w:sz w:val="22"/>
          <w:szCs w:val="22"/>
        </w:rPr>
        <w:t>01.06</w:t>
      </w:r>
      <w:r w:rsidRPr="00EA653B">
        <w:rPr>
          <w:sz w:val="22"/>
          <w:szCs w:val="22"/>
        </w:rPr>
        <w:tab/>
        <w:t>Supplément pour changement de diamètre entre la sortie et l’entrée dans la cunette principale (sans réduire le diamètre de la cunette)</w:t>
      </w:r>
    </w:p>
    <w:p w:rsidR="00EA653B" w:rsidRPr="00EA653B" w:rsidRDefault="00EA653B" w:rsidP="00EA653B">
      <w:pPr>
        <w:rPr>
          <w:sz w:val="16"/>
          <w:szCs w:val="16"/>
        </w:rPr>
      </w:pPr>
    </w:p>
    <w:p w:rsidR="00EA653B" w:rsidRPr="00EA653B" w:rsidRDefault="00EA653B" w:rsidP="00EA653B">
      <w:pPr>
        <w:rPr>
          <w:sz w:val="22"/>
          <w:szCs w:val="22"/>
        </w:rPr>
      </w:pPr>
      <w:r w:rsidRPr="00EA653B">
        <w:rPr>
          <w:sz w:val="22"/>
          <w:szCs w:val="22"/>
        </w:rPr>
        <w:t>01.07</w:t>
      </w:r>
      <w:r w:rsidRPr="00EA653B">
        <w:rPr>
          <w:sz w:val="22"/>
          <w:szCs w:val="22"/>
        </w:rPr>
        <w:tab/>
      </w:r>
      <w:r w:rsidRPr="00EA653B">
        <w:rPr>
          <w:sz w:val="22"/>
          <w:szCs w:val="22"/>
        </w:rPr>
        <w:tab/>
        <w:t>Remplissage des parois de l’élément de base avec du béton</w:t>
      </w:r>
    </w:p>
    <w:p w:rsidR="00EA653B" w:rsidRPr="00EA653B" w:rsidRDefault="00EA653B" w:rsidP="00EA653B">
      <w:pPr>
        <w:rPr>
          <w:sz w:val="16"/>
          <w:szCs w:val="16"/>
        </w:rPr>
      </w:pPr>
    </w:p>
    <w:p w:rsidR="00EA653B" w:rsidRPr="00EA653B" w:rsidRDefault="00EA653B" w:rsidP="00EA653B">
      <w:pPr>
        <w:rPr>
          <w:sz w:val="22"/>
          <w:szCs w:val="22"/>
        </w:rPr>
      </w:pPr>
      <w:r w:rsidRPr="00EA653B">
        <w:rPr>
          <w:sz w:val="22"/>
          <w:szCs w:val="22"/>
        </w:rPr>
        <w:t>01.08</w:t>
      </w:r>
      <w:r w:rsidRPr="00EA653B">
        <w:rPr>
          <w:sz w:val="22"/>
          <w:szCs w:val="22"/>
        </w:rPr>
        <w:tab/>
      </w:r>
      <w:r w:rsidRPr="00EA653B">
        <w:rPr>
          <w:sz w:val="22"/>
          <w:szCs w:val="22"/>
        </w:rPr>
        <w:tab/>
        <w:t>Remplissage des parois de l’anneau par du béton</w:t>
      </w:r>
    </w:p>
    <w:p w:rsidR="00540CFC" w:rsidRDefault="00540CFC" w:rsidP="00EA653B"/>
    <w:p w:rsidR="00540CFC" w:rsidRDefault="00540CFC" w:rsidP="00540CFC">
      <w:pPr>
        <w:ind w:left="4248" w:right="-432" w:firstLine="708"/>
      </w:pPr>
      <w:r>
        <w:tab/>
      </w:r>
      <w:r>
        <w:tab/>
      </w:r>
      <w:r>
        <w:tab/>
      </w:r>
      <w:r>
        <w:tab/>
      </w:r>
      <w:r>
        <w:tab/>
        <w:t xml:space="preserve">A 8.1 </w:t>
      </w:r>
    </w:p>
    <w:p w:rsidR="00137D87" w:rsidRPr="00AC35F0" w:rsidRDefault="00137D87" w:rsidP="00137D87">
      <w:pPr>
        <w:ind w:left="4248" w:right="-432" w:hanging="4248"/>
        <w:rPr>
          <w:b/>
        </w:rPr>
      </w:pPr>
      <w:r>
        <w:rPr>
          <w:b/>
        </w:rPr>
        <w:t>6</w:t>
      </w:r>
      <w:r w:rsidRPr="00AC35F0">
        <w:rPr>
          <w:b/>
        </w:rPr>
        <w:t>) REGARD DUPLEX-PR</w:t>
      </w:r>
      <w:r>
        <w:rPr>
          <w:b/>
        </w:rPr>
        <w:t>EDL MONOBLOC A PAROI DOUBLE DN 8</w:t>
      </w:r>
      <w:r w:rsidRPr="00AC35F0">
        <w:rPr>
          <w:b/>
        </w:rPr>
        <w:t>00</w:t>
      </w:r>
    </w:p>
    <w:p w:rsidR="00137D87" w:rsidRPr="00137D87" w:rsidRDefault="00137D87" w:rsidP="00137D87">
      <w:pPr>
        <w:ind w:left="4248" w:right="-432" w:hanging="4248"/>
        <w:rPr>
          <w:sz w:val="16"/>
          <w:szCs w:val="16"/>
        </w:rPr>
      </w:pPr>
    </w:p>
    <w:p w:rsidR="00137D87" w:rsidRPr="00AC35F0" w:rsidRDefault="00137D87" w:rsidP="00137D87">
      <w:pPr>
        <w:rPr>
          <w:i/>
          <w:iCs/>
        </w:rPr>
      </w:pPr>
      <w:r w:rsidRPr="00AC35F0">
        <w:rPr>
          <w:i/>
          <w:iCs/>
        </w:rPr>
        <w:t>Modèles de prescription :</w:t>
      </w:r>
    </w:p>
    <w:p w:rsidR="00137D87" w:rsidRDefault="00137D87" w:rsidP="00540CFC">
      <w:pPr>
        <w:rPr>
          <w:sz w:val="22"/>
          <w:szCs w:val="22"/>
        </w:rPr>
      </w:pPr>
    </w:p>
    <w:p w:rsidR="00540CFC" w:rsidRPr="00540CFC" w:rsidRDefault="00540CFC" w:rsidP="00540CFC">
      <w:pPr>
        <w:rPr>
          <w:sz w:val="22"/>
          <w:szCs w:val="22"/>
        </w:rPr>
      </w:pPr>
      <w:r w:rsidRPr="00540CFC">
        <w:rPr>
          <w:sz w:val="22"/>
          <w:szCs w:val="22"/>
        </w:rPr>
        <w:t>Projet :</w:t>
      </w:r>
    </w:p>
    <w:p w:rsidR="00540CFC" w:rsidRPr="00540CFC" w:rsidRDefault="00540CFC" w:rsidP="00540CFC">
      <w:pPr>
        <w:rPr>
          <w:sz w:val="22"/>
          <w:szCs w:val="22"/>
        </w:rPr>
      </w:pPr>
      <w:r w:rsidRPr="00540CFC">
        <w:rPr>
          <w:sz w:val="22"/>
          <w:szCs w:val="22"/>
        </w:rPr>
        <w:t xml:space="preserve">Descriptif : </w:t>
      </w:r>
    </w:p>
    <w:p w:rsidR="00540CFC" w:rsidRPr="00137D87" w:rsidRDefault="00540CFC" w:rsidP="00540CFC">
      <w:pPr>
        <w:rPr>
          <w:sz w:val="16"/>
          <w:szCs w:val="16"/>
        </w:rPr>
      </w:pPr>
    </w:p>
    <w:p w:rsidR="00540CFC" w:rsidRPr="00540CFC" w:rsidRDefault="00540CFC" w:rsidP="00540CFC">
      <w:pPr>
        <w:rPr>
          <w:sz w:val="22"/>
          <w:szCs w:val="22"/>
        </w:rPr>
      </w:pPr>
      <w:r w:rsidRPr="00540CFC">
        <w:rPr>
          <w:sz w:val="22"/>
          <w:szCs w:val="22"/>
        </w:rPr>
        <w:t>OZ</w:t>
      </w:r>
      <w:r w:rsidRPr="00540CFC">
        <w:rPr>
          <w:sz w:val="22"/>
          <w:szCs w:val="22"/>
        </w:rPr>
        <w:tab/>
        <w:t>Quantité</w:t>
      </w:r>
      <w:r w:rsidRPr="00540CFC">
        <w:rPr>
          <w:sz w:val="22"/>
          <w:szCs w:val="22"/>
        </w:rPr>
        <w:tab/>
        <w:t>Unité</w:t>
      </w:r>
      <w:r w:rsidRPr="00540CFC">
        <w:rPr>
          <w:sz w:val="22"/>
          <w:szCs w:val="22"/>
        </w:rPr>
        <w:tab/>
      </w:r>
      <w:r w:rsidRPr="00540CFC">
        <w:rPr>
          <w:sz w:val="22"/>
          <w:szCs w:val="22"/>
        </w:rPr>
        <w:tab/>
      </w:r>
      <w:r w:rsidRPr="00540CFC">
        <w:rPr>
          <w:sz w:val="22"/>
          <w:szCs w:val="22"/>
        </w:rPr>
        <w:tab/>
      </w:r>
      <w:r w:rsidRPr="00540CFC">
        <w:rPr>
          <w:sz w:val="22"/>
          <w:szCs w:val="22"/>
        </w:rPr>
        <w:tab/>
      </w:r>
      <w:r w:rsidRPr="00540CFC">
        <w:rPr>
          <w:sz w:val="22"/>
          <w:szCs w:val="22"/>
        </w:rPr>
        <w:tab/>
        <w:t>Prix unitaire</w:t>
      </w:r>
      <w:r w:rsidRPr="00540CFC">
        <w:rPr>
          <w:sz w:val="22"/>
          <w:szCs w:val="22"/>
        </w:rPr>
        <w:tab/>
      </w:r>
      <w:r w:rsidRPr="00540CFC">
        <w:rPr>
          <w:sz w:val="22"/>
          <w:szCs w:val="22"/>
        </w:rPr>
        <w:tab/>
        <w:t>Prix total</w:t>
      </w:r>
    </w:p>
    <w:p w:rsidR="00540CFC" w:rsidRPr="00137D87" w:rsidRDefault="00540CFC" w:rsidP="00540CFC">
      <w:pPr>
        <w:rPr>
          <w:sz w:val="16"/>
          <w:szCs w:val="16"/>
        </w:rPr>
      </w:pPr>
    </w:p>
    <w:p w:rsidR="00540CFC" w:rsidRPr="00540CFC" w:rsidRDefault="00540CFC" w:rsidP="00540CFC">
      <w:pPr>
        <w:rPr>
          <w:sz w:val="22"/>
          <w:szCs w:val="22"/>
        </w:rPr>
      </w:pPr>
      <w:r w:rsidRPr="00540CFC">
        <w:rPr>
          <w:sz w:val="22"/>
          <w:szCs w:val="22"/>
        </w:rPr>
        <w:t xml:space="preserve">01.01                </w:t>
      </w:r>
      <w:r w:rsidRPr="00540CFC">
        <w:rPr>
          <w:b/>
          <w:sz w:val="22"/>
          <w:szCs w:val="22"/>
        </w:rPr>
        <w:t>Regard DUPLEX-Predl DN 800 Monobloc à double paroi</w:t>
      </w:r>
    </w:p>
    <w:p w:rsidR="00540CFC" w:rsidRPr="00137D87" w:rsidRDefault="00540CFC" w:rsidP="00540CFC">
      <w:pPr>
        <w:rPr>
          <w:sz w:val="12"/>
          <w:szCs w:val="12"/>
        </w:rPr>
      </w:pPr>
      <w:r w:rsidRPr="00137D87">
        <w:rPr>
          <w:sz w:val="12"/>
          <w:szCs w:val="12"/>
        </w:rPr>
        <w:tab/>
      </w:r>
      <w:r w:rsidRPr="00137D87">
        <w:rPr>
          <w:sz w:val="12"/>
          <w:szCs w:val="12"/>
        </w:rPr>
        <w:tab/>
      </w:r>
      <w:r w:rsidRPr="00137D87">
        <w:rPr>
          <w:sz w:val="12"/>
          <w:szCs w:val="12"/>
        </w:rPr>
        <w:tab/>
      </w:r>
    </w:p>
    <w:p w:rsidR="00540CFC" w:rsidRPr="00540CFC" w:rsidRDefault="00540CFC" w:rsidP="00540CFC">
      <w:pPr>
        <w:ind w:left="1416"/>
        <w:rPr>
          <w:sz w:val="22"/>
          <w:szCs w:val="22"/>
        </w:rPr>
      </w:pPr>
      <w:r w:rsidRPr="00540CFC">
        <w:rPr>
          <w:sz w:val="22"/>
          <w:szCs w:val="22"/>
        </w:rPr>
        <w:t>Regard pour l’assainissement DN 800 en polypropylène ou polyéthylène conforme à la norme DIN 13598-2, domaine d’application charges lourdes (SLW 60). Sécurisé contre la poussée hydrostatique grâce à sa base à débordement et à sa structure à double paroi creuse, dans le sens horizontal et vertical, et qui peut être rempli pour lestage (avec du béton par ex.).</w:t>
      </w:r>
    </w:p>
    <w:p w:rsidR="00540CFC" w:rsidRPr="00540CFC" w:rsidRDefault="00540CFC" w:rsidP="00540CFC">
      <w:pPr>
        <w:ind w:left="1416"/>
        <w:rPr>
          <w:sz w:val="22"/>
          <w:szCs w:val="22"/>
        </w:rPr>
      </w:pPr>
      <w:r w:rsidRPr="00540CFC">
        <w:rPr>
          <w:sz w:val="22"/>
          <w:szCs w:val="22"/>
        </w:rPr>
        <w:t>L’écartement minimum entre les nervures de la paroi extérieure est de 40 mm avec une ouverture à 45°.</w:t>
      </w:r>
    </w:p>
    <w:p w:rsidR="00540CFC" w:rsidRPr="00540CFC" w:rsidRDefault="00540CFC" w:rsidP="00540CFC">
      <w:pPr>
        <w:ind w:left="1416"/>
        <w:rPr>
          <w:sz w:val="22"/>
          <w:szCs w:val="22"/>
        </w:rPr>
      </w:pPr>
      <w:r w:rsidRPr="00540CFC">
        <w:rPr>
          <w:sz w:val="22"/>
          <w:szCs w:val="22"/>
        </w:rPr>
        <w:t>Les rehausses sont munis de douilles filetés (M12) afin d’équiper le regard avec une échelle, en option. Le cône est constitué d’un télescope ajustable en hauteur et inclinable pour s’ajuster précisément à la pente de la chaussée.</w:t>
      </w:r>
    </w:p>
    <w:p w:rsidR="00540CFC" w:rsidRPr="00540CFC" w:rsidRDefault="00540CFC" w:rsidP="00540CFC">
      <w:pPr>
        <w:ind w:left="1416"/>
        <w:rPr>
          <w:sz w:val="22"/>
          <w:szCs w:val="22"/>
        </w:rPr>
      </w:pPr>
    </w:p>
    <w:p w:rsidR="00540CFC" w:rsidRPr="00540CFC" w:rsidRDefault="00540CFC" w:rsidP="00540CFC">
      <w:pPr>
        <w:ind w:left="1416"/>
        <w:rPr>
          <w:sz w:val="22"/>
          <w:szCs w:val="22"/>
        </w:rPr>
      </w:pPr>
      <w:r w:rsidRPr="00540CFC">
        <w:rPr>
          <w:sz w:val="22"/>
          <w:szCs w:val="22"/>
        </w:rPr>
        <w:t>Elément de base équipé d’un fond de regard en polypropylène ou en polyéthylène comprenant un canal toute hauteur de tuyau et banquette antidérapante ainsi que des manchons pour un branchement étanche des tuyaux d’assainissement usuels.</w:t>
      </w:r>
    </w:p>
    <w:p w:rsidR="00540CFC" w:rsidRPr="00540CFC" w:rsidRDefault="00540CFC" w:rsidP="00540CFC">
      <w:pPr>
        <w:ind w:left="1416"/>
        <w:rPr>
          <w:sz w:val="22"/>
          <w:szCs w:val="22"/>
        </w:rPr>
      </w:pPr>
      <w:r w:rsidRPr="00540CFC">
        <w:rPr>
          <w:sz w:val="22"/>
          <w:szCs w:val="22"/>
        </w:rPr>
        <w:t>Eléments vissés entre eux avec des pièces de liaison, livrés montés et sans remplissage jusqu’à une hauteur utile de 2 m. Pour des plus grandes profondeurs, les éléments peuvent être livrés pré-assemblés jusqu’à une hauteur hors tout de 2m30.</w:t>
      </w:r>
    </w:p>
    <w:p w:rsidR="00540CFC" w:rsidRPr="00540CFC" w:rsidRDefault="00540CFC" w:rsidP="00540CFC">
      <w:pPr>
        <w:ind w:left="1416"/>
        <w:rPr>
          <w:sz w:val="22"/>
          <w:szCs w:val="22"/>
        </w:rPr>
      </w:pPr>
      <w:r w:rsidRPr="00540CFC">
        <w:rPr>
          <w:sz w:val="22"/>
          <w:szCs w:val="22"/>
        </w:rPr>
        <w:t xml:space="preserve">Joints d’étanchéité élastomères conformes à la norme DIN EN 681-1. </w:t>
      </w:r>
    </w:p>
    <w:p w:rsidR="00540CFC" w:rsidRPr="00137D87" w:rsidRDefault="00540CFC" w:rsidP="00540CFC">
      <w:pPr>
        <w:ind w:left="1416"/>
        <w:rPr>
          <w:sz w:val="12"/>
          <w:szCs w:val="12"/>
        </w:rPr>
      </w:pPr>
    </w:p>
    <w:p w:rsidR="00540CFC" w:rsidRPr="00540CFC" w:rsidRDefault="00540CFC" w:rsidP="00540CFC">
      <w:pPr>
        <w:ind w:left="1416"/>
        <w:rPr>
          <w:sz w:val="22"/>
          <w:szCs w:val="22"/>
        </w:rPr>
      </w:pPr>
      <w:r w:rsidRPr="00540CFC">
        <w:rPr>
          <w:sz w:val="22"/>
          <w:szCs w:val="22"/>
        </w:rPr>
        <w:t>Dalle de répartition de charge en béton avec réservation pour recevoir un tampon standard de type LW 625.</w:t>
      </w:r>
    </w:p>
    <w:p w:rsidR="00540CFC" w:rsidRPr="00137D87" w:rsidRDefault="00540CFC" w:rsidP="00540CFC">
      <w:pPr>
        <w:ind w:left="2124"/>
        <w:rPr>
          <w:sz w:val="12"/>
          <w:szCs w:val="12"/>
        </w:rPr>
      </w:pPr>
    </w:p>
    <w:p w:rsidR="00540CFC" w:rsidRPr="00540CFC" w:rsidRDefault="00540CFC" w:rsidP="00540CFC">
      <w:pPr>
        <w:ind w:left="708" w:firstLine="708"/>
        <w:rPr>
          <w:sz w:val="22"/>
          <w:szCs w:val="22"/>
        </w:rPr>
      </w:pPr>
      <w:r w:rsidRPr="00540CFC">
        <w:rPr>
          <w:sz w:val="22"/>
          <w:szCs w:val="22"/>
        </w:rPr>
        <w:t>Profondeur utile maximale : …..m</w:t>
      </w:r>
    </w:p>
    <w:p w:rsidR="00540CFC" w:rsidRPr="00540CFC" w:rsidRDefault="00540CFC" w:rsidP="00540CFC">
      <w:pPr>
        <w:ind w:left="708" w:firstLine="708"/>
        <w:rPr>
          <w:sz w:val="22"/>
          <w:szCs w:val="22"/>
        </w:rPr>
      </w:pPr>
      <w:r w:rsidRPr="00540CFC">
        <w:rPr>
          <w:sz w:val="22"/>
          <w:szCs w:val="22"/>
        </w:rPr>
        <w:t>Tuyaux à raccorder :</w:t>
      </w:r>
    </w:p>
    <w:p w:rsidR="00540CFC" w:rsidRPr="00540CFC" w:rsidRDefault="00540CFC" w:rsidP="00540CFC">
      <w:pPr>
        <w:ind w:left="708" w:firstLine="708"/>
        <w:rPr>
          <w:sz w:val="22"/>
          <w:szCs w:val="22"/>
        </w:rPr>
      </w:pPr>
      <w:r w:rsidRPr="00540CFC">
        <w:rPr>
          <w:sz w:val="22"/>
          <w:szCs w:val="22"/>
        </w:rPr>
        <w:t>Pente standard : 1%</w:t>
      </w:r>
    </w:p>
    <w:p w:rsidR="00540CFC" w:rsidRPr="00137D87" w:rsidRDefault="00540CFC" w:rsidP="00540CFC">
      <w:pPr>
        <w:ind w:left="2124"/>
        <w:rPr>
          <w:sz w:val="12"/>
          <w:szCs w:val="12"/>
        </w:rPr>
      </w:pPr>
    </w:p>
    <w:p w:rsidR="00540CFC" w:rsidRPr="00540CFC" w:rsidRDefault="00540CFC" w:rsidP="00540CFC">
      <w:pPr>
        <w:ind w:left="1416"/>
        <w:rPr>
          <w:sz w:val="22"/>
          <w:szCs w:val="22"/>
        </w:rPr>
      </w:pPr>
      <w:r w:rsidRPr="00540CFC">
        <w:rPr>
          <w:sz w:val="22"/>
          <w:szCs w:val="22"/>
        </w:rPr>
        <w:t>Toute livraison et montage du regard doit être réalisé conformément aux instructions du fabricant.</w:t>
      </w:r>
    </w:p>
    <w:p w:rsidR="00540CFC" w:rsidRPr="00137D87" w:rsidRDefault="00540CFC" w:rsidP="00540CFC">
      <w:pPr>
        <w:ind w:left="2124"/>
        <w:rPr>
          <w:sz w:val="12"/>
          <w:szCs w:val="12"/>
        </w:rPr>
      </w:pPr>
      <w:r w:rsidRPr="00137D87">
        <w:rPr>
          <w:sz w:val="12"/>
          <w:szCs w:val="12"/>
        </w:rPr>
        <w:t xml:space="preserve">  </w:t>
      </w:r>
    </w:p>
    <w:p w:rsidR="00540CFC" w:rsidRPr="00540CFC" w:rsidRDefault="00540CFC" w:rsidP="00540CFC">
      <w:pPr>
        <w:ind w:left="708" w:firstLine="708"/>
        <w:rPr>
          <w:sz w:val="22"/>
          <w:szCs w:val="22"/>
        </w:rPr>
      </w:pPr>
      <w:r w:rsidRPr="00540CFC">
        <w:rPr>
          <w:sz w:val="22"/>
          <w:szCs w:val="22"/>
        </w:rPr>
        <w:t>Système : Regard DUPLEX-PREDL DN 800 ou équivalent.</w:t>
      </w:r>
    </w:p>
    <w:p w:rsidR="00540CFC" w:rsidRPr="00137D87" w:rsidRDefault="00540CFC" w:rsidP="00540CFC">
      <w:pPr>
        <w:ind w:left="2124"/>
        <w:rPr>
          <w:sz w:val="16"/>
          <w:szCs w:val="16"/>
        </w:rPr>
      </w:pPr>
    </w:p>
    <w:p w:rsidR="00540CFC" w:rsidRPr="00540CFC" w:rsidRDefault="00540CFC" w:rsidP="00540CFC">
      <w:pPr>
        <w:ind w:left="708" w:firstLine="708"/>
        <w:rPr>
          <w:b/>
          <w:sz w:val="22"/>
          <w:szCs w:val="22"/>
          <w:u w:val="single"/>
        </w:rPr>
      </w:pPr>
      <w:r w:rsidRPr="00540CFC">
        <w:rPr>
          <w:b/>
          <w:sz w:val="22"/>
          <w:szCs w:val="22"/>
          <w:u w:val="single"/>
        </w:rPr>
        <w:t xml:space="preserve">Suppléments : </w:t>
      </w:r>
    </w:p>
    <w:p w:rsidR="00540CFC" w:rsidRPr="00137D87" w:rsidRDefault="00540CFC" w:rsidP="00540CFC">
      <w:pPr>
        <w:rPr>
          <w:sz w:val="12"/>
          <w:szCs w:val="12"/>
        </w:rPr>
      </w:pPr>
    </w:p>
    <w:p w:rsidR="00540CFC" w:rsidRPr="00540CFC" w:rsidRDefault="00540CFC" w:rsidP="00540CFC">
      <w:pPr>
        <w:rPr>
          <w:sz w:val="22"/>
          <w:szCs w:val="22"/>
        </w:rPr>
      </w:pPr>
      <w:r w:rsidRPr="00540CFC">
        <w:rPr>
          <w:sz w:val="22"/>
          <w:szCs w:val="22"/>
        </w:rPr>
        <w:t>01.09</w:t>
      </w:r>
      <w:r w:rsidRPr="00540CFC">
        <w:rPr>
          <w:sz w:val="22"/>
          <w:szCs w:val="22"/>
        </w:rPr>
        <w:tab/>
      </w:r>
      <w:r w:rsidRPr="00540CFC">
        <w:rPr>
          <w:sz w:val="22"/>
          <w:szCs w:val="22"/>
        </w:rPr>
        <w:tab/>
        <w:t>Supplément pour angle dans cunette</w:t>
      </w:r>
    </w:p>
    <w:p w:rsidR="00540CFC" w:rsidRPr="00137D87" w:rsidRDefault="00540CFC" w:rsidP="00540CFC">
      <w:pPr>
        <w:rPr>
          <w:sz w:val="12"/>
          <w:szCs w:val="12"/>
        </w:rPr>
      </w:pPr>
    </w:p>
    <w:p w:rsidR="00540CFC" w:rsidRPr="00540CFC" w:rsidRDefault="00540CFC" w:rsidP="00540CFC">
      <w:pPr>
        <w:rPr>
          <w:sz w:val="22"/>
          <w:szCs w:val="22"/>
        </w:rPr>
      </w:pPr>
      <w:r w:rsidRPr="00540CFC">
        <w:rPr>
          <w:sz w:val="22"/>
          <w:szCs w:val="22"/>
        </w:rPr>
        <w:t>01.10</w:t>
      </w:r>
      <w:r w:rsidRPr="00540CFC">
        <w:rPr>
          <w:sz w:val="22"/>
          <w:szCs w:val="22"/>
        </w:rPr>
        <w:tab/>
      </w:r>
      <w:r w:rsidRPr="00540CFC">
        <w:rPr>
          <w:sz w:val="22"/>
          <w:szCs w:val="22"/>
        </w:rPr>
        <w:tab/>
        <w:t>Supplément pour arrivée supplémentaire non-standard DN….</w:t>
      </w:r>
    </w:p>
    <w:p w:rsidR="00540CFC" w:rsidRPr="00137D87" w:rsidRDefault="00540CFC" w:rsidP="00540CFC">
      <w:pPr>
        <w:rPr>
          <w:sz w:val="12"/>
          <w:szCs w:val="12"/>
        </w:rPr>
      </w:pPr>
    </w:p>
    <w:p w:rsidR="00540CFC" w:rsidRPr="00540CFC" w:rsidRDefault="00540CFC" w:rsidP="00540CFC">
      <w:pPr>
        <w:rPr>
          <w:rFonts w:ascii="Cambria" w:hAnsi="Cambria"/>
          <w:sz w:val="22"/>
          <w:szCs w:val="22"/>
        </w:rPr>
      </w:pPr>
      <w:r w:rsidRPr="00540CFC">
        <w:rPr>
          <w:sz w:val="22"/>
          <w:szCs w:val="22"/>
        </w:rPr>
        <w:t>01.11</w:t>
      </w:r>
      <w:r w:rsidRPr="00540CFC">
        <w:rPr>
          <w:sz w:val="22"/>
          <w:szCs w:val="22"/>
        </w:rPr>
        <w:tab/>
      </w:r>
      <w:r w:rsidRPr="00540CFC">
        <w:rPr>
          <w:sz w:val="22"/>
          <w:szCs w:val="22"/>
        </w:rPr>
        <w:tab/>
        <w:t xml:space="preserve">Supplément pour pente dans le manchon </w:t>
      </w:r>
      <w:r w:rsidRPr="00540CFC">
        <w:rPr>
          <w:sz w:val="22"/>
          <w:szCs w:val="22"/>
        </w:rPr>
        <w:tab/>
        <w:t xml:space="preserve">  DN 150</w:t>
      </w:r>
      <w:r w:rsidRPr="00540CFC">
        <w:rPr>
          <w:sz w:val="22"/>
          <w:szCs w:val="22"/>
        </w:rPr>
        <w:tab/>
      </w:r>
      <w:r w:rsidRPr="00540CFC">
        <w:rPr>
          <w:sz w:val="22"/>
          <w:szCs w:val="22"/>
        </w:rPr>
        <w:tab/>
      </w:r>
      <w:r w:rsidRPr="00540CFC">
        <w:rPr>
          <w:rFonts w:ascii="Cambria" w:hAnsi="Cambria"/>
          <w:sz w:val="22"/>
          <w:szCs w:val="22"/>
        </w:rPr>
        <w:t>≥ 4% - 10%</w:t>
      </w:r>
    </w:p>
    <w:p w:rsidR="00540CFC" w:rsidRPr="00474896" w:rsidRDefault="00540CFC" w:rsidP="00540CFC">
      <w:pPr>
        <w:rPr>
          <w:sz w:val="22"/>
          <w:szCs w:val="22"/>
        </w:rPr>
      </w:pP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r>
      <w:r w:rsidRPr="00474896">
        <w:rPr>
          <w:sz w:val="22"/>
          <w:szCs w:val="22"/>
        </w:rPr>
        <w:tab/>
        <w:t xml:space="preserve">  DN 200</w:t>
      </w:r>
      <w:r w:rsidRPr="00474896">
        <w:rPr>
          <w:sz w:val="22"/>
          <w:szCs w:val="22"/>
        </w:rPr>
        <w:tab/>
      </w:r>
      <w:r w:rsidRPr="00474896">
        <w:rPr>
          <w:sz w:val="22"/>
          <w:szCs w:val="22"/>
        </w:rPr>
        <w:tab/>
      </w:r>
      <w:r w:rsidRPr="00474896">
        <w:rPr>
          <w:rFonts w:ascii="Cambria" w:hAnsi="Cambria"/>
          <w:sz w:val="22"/>
          <w:szCs w:val="22"/>
        </w:rPr>
        <w:t>≥</w:t>
      </w:r>
      <w:r w:rsidRPr="00474896">
        <w:rPr>
          <w:sz w:val="22"/>
          <w:szCs w:val="22"/>
        </w:rPr>
        <w:t xml:space="preserve"> 3%  -10 %</w:t>
      </w:r>
    </w:p>
    <w:p w:rsidR="00540CFC" w:rsidRPr="00474896" w:rsidRDefault="00540CFC" w:rsidP="00540CFC">
      <w:pPr>
        <w:ind w:left="3540"/>
        <w:rPr>
          <w:sz w:val="22"/>
          <w:szCs w:val="22"/>
        </w:rPr>
      </w:pPr>
      <w:r w:rsidRPr="00474896">
        <w:rPr>
          <w:sz w:val="22"/>
          <w:szCs w:val="22"/>
        </w:rPr>
        <w:t xml:space="preserve">           </w:t>
      </w:r>
      <w:r w:rsidRPr="00474896">
        <w:rPr>
          <w:sz w:val="22"/>
          <w:szCs w:val="22"/>
        </w:rPr>
        <w:tab/>
      </w:r>
      <w:r w:rsidRPr="00474896">
        <w:rPr>
          <w:sz w:val="22"/>
          <w:szCs w:val="22"/>
        </w:rPr>
        <w:tab/>
      </w:r>
      <w:r w:rsidRPr="00474896">
        <w:rPr>
          <w:sz w:val="22"/>
          <w:szCs w:val="22"/>
        </w:rPr>
        <w:tab/>
        <w:t xml:space="preserve">  DN 250 / 300 </w:t>
      </w:r>
      <w:r w:rsidRPr="00474896">
        <w:rPr>
          <w:sz w:val="22"/>
          <w:szCs w:val="22"/>
        </w:rPr>
        <w:tab/>
      </w:r>
      <w:r w:rsidRPr="00474896">
        <w:rPr>
          <w:rFonts w:ascii="Cambria" w:hAnsi="Cambria"/>
          <w:sz w:val="22"/>
          <w:szCs w:val="22"/>
        </w:rPr>
        <w:t>≥</w:t>
      </w:r>
      <w:r w:rsidRPr="00474896">
        <w:rPr>
          <w:sz w:val="22"/>
          <w:szCs w:val="22"/>
        </w:rPr>
        <w:t xml:space="preserve"> 2%  -10 %</w:t>
      </w:r>
    </w:p>
    <w:p w:rsidR="00540CFC" w:rsidRPr="00137D87" w:rsidRDefault="00540CFC" w:rsidP="00540CFC">
      <w:pPr>
        <w:rPr>
          <w:sz w:val="12"/>
          <w:szCs w:val="12"/>
        </w:rPr>
      </w:pPr>
    </w:p>
    <w:p w:rsidR="00540CFC" w:rsidRPr="00540CFC" w:rsidRDefault="00540CFC" w:rsidP="00540CFC">
      <w:pPr>
        <w:rPr>
          <w:sz w:val="22"/>
          <w:szCs w:val="22"/>
        </w:rPr>
      </w:pPr>
      <w:r w:rsidRPr="00540CFC">
        <w:rPr>
          <w:sz w:val="22"/>
          <w:szCs w:val="22"/>
        </w:rPr>
        <w:t>01.12</w:t>
      </w:r>
      <w:r w:rsidRPr="00540CFC">
        <w:rPr>
          <w:sz w:val="22"/>
          <w:szCs w:val="22"/>
        </w:rPr>
        <w:tab/>
      </w:r>
      <w:r w:rsidRPr="00540CFC">
        <w:rPr>
          <w:sz w:val="22"/>
          <w:szCs w:val="22"/>
        </w:rPr>
        <w:tab/>
        <w:t xml:space="preserve">Supplément pour pente dans le conduit principal </w:t>
      </w:r>
      <w:r w:rsidRPr="00540CFC">
        <w:rPr>
          <w:rFonts w:ascii="Cambria" w:hAnsi="Cambria"/>
          <w:sz w:val="22"/>
          <w:szCs w:val="22"/>
        </w:rPr>
        <w:t>&gt;</w:t>
      </w:r>
      <w:r w:rsidRPr="00540CFC">
        <w:rPr>
          <w:sz w:val="22"/>
          <w:szCs w:val="22"/>
        </w:rPr>
        <w:t xml:space="preserve"> 1% jusqu’à maxi. 10 %</w:t>
      </w:r>
    </w:p>
    <w:p w:rsidR="00540CFC" w:rsidRPr="00137D87" w:rsidRDefault="00540CFC" w:rsidP="00540CFC">
      <w:pPr>
        <w:rPr>
          <w:sz w:val="12"/>
          <w:szCs w:val="12"/>
        </w:rPr>
      </w:pPr>
    </w:p>
    <w:p w:rsidR="00540CFC" w:rsidRPr="00540CFC" w:rsidRDefault="00540CFC" w:rsidP="00540CFC">
      <w:pPr>
        <w:ind w:left="1416" w:right="-715" w:hanging="1416"/>
        <w:rPr>
          <w:sz w:val="22"/>
          <w:szCs w:val="22"/>
        </w:rPr>
      </w:pPr>
      <w:r w:rsidRPr="00540CFC">
        <w:rPr>
          <w:sz w:val="22"/>
          <w:szCs w:val="22"/>
        </w:rPr>
        <w:t>01.13</w:t>
      </w:r>
      <w:r w:rsidRPr="00540CFC">
        <w:rPr>
          <w:sz w:val="22"/>
          <w:szCs w:val="22"/>
        </w:rPr>
        <w:tab/>
        <w:t>Supplément pour changement de diamètre entre la sortie et l’entrée dans la cunette principale (sans réduire le diamètre de la cunette)</w:t>
      </w:r>
    </w:p>
    <w:p w:rsidR="00540CFC" w:rsidRPr="00137D87" w:rsidRDefault="00540CFC" w:rsidP="00540CFC">
      <w:pPr>
        <w:rPr>
          <w:sz w:val="12"/>
          <w:szCs w:val="12"/>
        </w:rPr>
      </w:pPr>
    </w:p>
    <w:p w:rsidR="00540CFC" w:rsidRPr="00540CFC" w:rsidRDefault="00540CFC" w:rsidP="00540CFC">
      <w:pPr>
        <w:rPr>
          <w:sz w:val="22"/>
          <w:szCs w:val="22"/>
        </w:rPr>
      </w:pPr>
      <w:r w:rsidRPr="00540CFC">
        <w:rPr>
          <w:sz w:val="22"/>
          <w:szCs w:val="22"/>
        </w:rPr>
        <w:t>01.14</w:t>
      </w:r>
      <w:r w:rsidRPr="00540CFC">
        <w:rPr>
          <w:sz w:val="22"/>
          <w:szCs w:val="22"/>
        </w:rPr>
        <w:tab/>
      </w:r>
      <w:r w:rsidRPr="00540CFC">
        <w:rPr>
          <w:sz w:val="22"/>
          <w:szCs w:val="22"/>
        </w:rPr>
        <w:tab/>
        <w:t>Remplissage des parois de l’élément de base avec du béton</w:t>
      </w:r>
    </w:p>
    <w:p w:rsidR="00540CFC" w:rsidRPr="00137D87" w:rsidRDefault="00540CFC" w:rsidP="00540CFC">
      <w:pPr>
        <w:rPr>
          <w:sz w:val="12"/>
          <w:szCs w:val="12"/>
        </w:rPr>
      </w:pPr>
    </w:p>
    <w:p w:rsidR="00540CFC" w:rsidRPr="00540CFC" w:rsidRDefault="00540CFC" w:rsidP="00540CFC">
      <w:pPr>
        <w:rPr>
          <w:sz w:val="22"/>
          <w:szCs w:val="22"/>
        </w:rPr>
      </w:pPr>
      <w:r w:rsidRPr="00540CFC">
        <w:rPr>
          <w:sz w:val="22"/>
          <w:szCs w:val="22"/>
        </w:rPr>
        <w:t>01.15</w:t>
      </w:r>
      <w:r w:rsidRPr="00540CFC">
        <w:rPr>
          <w:sz w:val="22"/>
          <w:szCs w:val="22"/>
        </w:rPr>
        <w:tab/>
      </w:r>
      <w:r w:rsidRPr="00540CFC">
        <w:rPr>
          <w:sz w:val="22"/>
          <w:szCs w:val="22"/>
        </w:rPr>
        <w:tab/>
        <w:t>Remplissage des parois de l’anneau par du béton</w:t>
      </w:r>
    </w:p>
    <w:p w:rsidR="00540CFC" w:rsidRDefault="00540CFC" w:rsidP="00EA653B">
      <w:pPr>
        <w:rPr>
          <w:sz w:val="22"/>
          <w:szCs w:val="22"/>
        </w:rPr>
      </w:pPr>
    </w:p>
    <w:p w:rsidR="009C6A85" w:rsidRDefault="009C6A85" w:rsidP="009C6A85">
      <w:pPr>
        <w:ind w:left="4248" w:right="-432" w:firstLine="708"/>
      </w:pPr>
    </w:p>
    <w:p w:rsidR="009C6A85" w:rsidRDefault="009C6A85" w:rsidP="009C6A85">
      <w:pPr>
        <w:ind w:left="4248" w:right="-432" w:firstLine="708"/>
      </w:pPr>
      <w:r>
        <w:tab/>
      </w:r>
      <w:r>
        <w:tab/>
      </w:r>
      <w:r>
        <w:tab/>
      </w:r>
      <w:r>
        <w:tab/>
      </w:r>
      <w:r>
        <w:tab/>
        <w:t>8.2</w:t>
      </w:r>
    </w:p>
    <w:p w:rsidR="00137D87" w:rsidRPr="00AC35F0" w:rsidRDefault="00137D87" w:rsidP="00137D87">
      <w:pPr>
        <w:ind w:left="4248" w:right="-432" w:hanging="4248"/>
        <w:rPr>
          <w:b/>
        </w:rPr>
      </w:pPr>
      <w:r>
        <w:rPr>
          <w:b/>
        </w:rPr>
        <w:t>7</w:t>
      </w:r>
      <w:r w:rsidRPr="00AC35F0">
        <w:rPr>
          <w:b/>
        </w:rPr>
        <w:t xml:space="preserve">) REGARD DUPLEX-PREDL </w:t>
      </w:r>
      <w:r>
        <w:rPr>
          <w:b/>
        </w:rPr>
        <w:t>DN 6</w:t>
      </w:r>
      <w:r w:rsidRPr="00AC35F0">
        <w:rPr>
          <w:b/>
        </w:rPr>
        <w:t>00</w:t>
      </w:r>
    </w:p>
    <w:p w:rsidR="00137D87" w:rsidRPr="00137D87" w:rsidRDefault="00137D87" w:rsidP="00137D87">
      <w:pPr>
        <w:ind w:left="4248" w:right="-432" w:hanging="4248"/>
        <w:rPr>
          <w:sz w:val="16"/>
          <w:szCs w:val="16"/>
        </w:rPr>
      </w:pPr>
    </w:p>
    <w:p w:rsidR="00137D87" w:rsidRPr="00AC35F0" w:rsidRDefault="00137D87" w:rsidP="00137D87">
      <w:pPr>
        <w:rPr>
          <w:i/>
          <w:iCs/>
        </w:rPr>
      </w:pPr>
      <w:r w:rsidRPr="00AC35F0">
        <w:rPr>
          <w:i/>
          <w:iCs/>
        </w:rPr>
        <w:t>Modèles de prescription :</w:t>
      </w:r>
    </w:p>
    <w:p w:rsidR="00137D87" w:rsidRDefault="00137D87" w:rsidP="009C6A85"/>
    <w:p w:rsidR="009C6A85" w:rsidRDefault="009C6A85" w:rsidP="009C6A85">
      <w:r>
        <w:t>Projet :</w:t>
      </w:r>
    </w:p>
    <w:p w:rsidR="009C6A85" w:rsidRDefault="009C6A85" w:rsidP="009C6A85">
      <w:r>
        <w:t xml:space="preserve">Descriptif : </w:t>
      </w:r>
    </w:p>
    <w:p w:rsidR="009C6A85" w:rsidRPr="00864D46" w:rsidRDefault="009C6A85" w:rsidP="009C6A85">
      <w:pPr>
        <w:rPr>
          <w:sz w:val="16"/>
          <w:szCs w:val="16"/>
        </w:rPr>
      </w:pPr>
    </w:p>
    <w:p w:rsidR="009C6A85" w:rsidRDefault="009C6A85" w:rsidP="009C6A85">
      <w:r>
        <w:t>OZ</w:t>
      </w:r>
      <w:r>
        <w:tab/>
        <w:t>Quantité</w:t>
      </w:r>
      <w:r>
        <w:tab/>
        <w:t>Unité</w:t>
      </w:r>
      <w:r>
        <w:tab/>
      </w:r>
      <w:r>
        <w:tab/>
      </w:r>
      <w:r>
        <w:tab/>
      </w:r>
      <w:r>
        <w:tab/>
      </w:r>
      <w:r>
        <w:tab/>
        <w:t>Prix unitaire</w:t>
      </w:r>
      <w:r>
        <w:tab/>
      </w:r>
      <w:r>
        <w:tab/>
        <w:t>Prix total</w:t>
      </w:r>
    </w:p>
    <w:p w:rsidR="009C6A85" w:rsidRPr="00864D46" w:rsidRDefault="009C6A85" w:rsidP="009C6A85">
      <w:pPr>
        <w:rPr>
          <w:sz w:val="16"/>
          <w:szCs w:val="16"/>
        </w:rPr>
      </w:pPr>
    </w:p>
    <w:p w:rsidR="009C6A85" w:rsidRDefault="009C6A85" w:rsidP="009C6A85">
      <w:r>
        <w:t xml:space="preserve">01.01                 </w:t>
      </w:r>
      <w:r>
        <w:rPr>
          <w:b/>
        </w:rPr>
        <w:t>Regard DUPLEX-Predl DN 6</w:t>
      </w:r>
      <w:r w:rsidRPr="00A544F8">
        <w:rPr>
          <w:b/>
        </w:rPr>
        <w:t>00</w:t>
      </w:r>
      <w:r>
        <w:rPr>
          <w:b/>
        </w:rPr>
        <w:t xml:space="preserve"> </w:t>
      </w:r>
    </w:p>
    <w:p w:rsidR="009C6A85" w:rsidRPr="00137D87" w:rsidRDefault="009C6A85" w:rsidP="009C6A85">
      <w:pPr>
        <w:rPr>
          <w:sz w:val="12"/>
          <w:szCs w:val="12"/>
        </w:rPr>
      </w:pPr>
      <w:r w:rsidRPr="00137D87">
        <w:rPr>
          <w:sz w:val="12"/>
          <w:szCs w:val="12"/>
        </w:rPr>
        <w:tab/>
      </w:r>
      <w:r w:rsidRPr="00137D87">
        <w:rPr>
          <w:sz w:val="12"/>
          <w:szCs w:val="12"/>
        </w:rPr>
        <w:tab/>
      </w:r>
      <w:r w:rsidRPr="00137D87">
        <w:rPr>
          <w:sz w:val="12"/>
          <w:szCs w:val="12"/>
        </w:rPr>
        <w:tab/>
      </w:r>
    </w:p>
    <w:p w:rsidR="009C6A85" w:rsidRDefault="009C6A85" w:rsidP="009C6A85">
      <w:pPr>
        <w:ind w:left="1416"/>
      </w:pPr>
      <w:r>
        <w:t xml:space="preserve">Regard pour l’assainissement DN 600 en polypropylène ou polyéthylène conforme à la norme DIN 13598-2, domaine d’application charges normales (classe A par exemple). </w:t>
      </w:r>
    </w:p>
    <w:p w:rsidR="009C6A85" w:rsidRDefault="009C6A85" w:rsidP="009C6A85">
      <w:pPr>
        <w:ind w:left="1416"/>
      </w:pPr>
      <w:r>
        <w:t>L’élément de fond à double paroi peut-être lesté grâce à sa base à sa structure à double paroi creuse, dans le sens horizontal et vertical.</w:t>
      </w:r>
    </w:p>
    <w:p w:rsidR="009C6A85" w:rsidRDefault="009C6A85" w:rsidP="009C6A85">
      <w:pPr>
        <w:ind w:left="1416"/>
      </w:pPr>
      <w:r>
        <w:t>L’écartement minimum entre les nervures de la paroi extérieure est de 35 mm avec une ouverture à 45°.</w:t>
      </w:r>
    </w:p>
    <w:p w:rsidR="009C6A85" w:rsidRDefault="009C6A85" w:rsidP="009C6A85">
      <w:pPr>
        <w:ind w:left="1416"/>
      </w:pPr>
      <w:r>
        <w:t>La rehausse Le cône est constitué d’un télescope ajustable en hauteur et inclinable pour s’ajuster précisément à la pente de la chaussée.</w:t>
      </w:r>
    </w:p>
    <w:p w:rsidR="009C6A85" w:rsidRPr="00137D87" w:rsidRDefault="009C6A85" w:rsidP="009C6A85">
      <w:pPr>
        <w:ind w:left="1416"/>
        <w:rPr>
          <w:sz w:val="12"/>
          <w:szCs w:val="12"/>
        </w:rPr>
      </w:pPr>
    </w:p>
    <w:p w:rsidR="009C6A85" w:rsidRDefault="009C6A85" w:rsidP="009C6A85">
      <w:pPr>
        <w:ind w:left="1416"/>
      </w:pPr>
      <w:r>
        <w:t>Elément de base équipé d’un fond de regard en polypropylène ou en polyéthylène comprenant un passage toute hauteur de tuyau, pente à 2%, et une banquette antidérapante ainsi que des manchons pour un branchement étanche des tuyaux d’assainissement usuels.</w:t>
      </w:r>
    </w:p>
    <w:p w:rsidR="009C6A85" w:rsidRPr="00137D87" w:rsidRDefault="009C6A85" w:rsidP="009C6A85">
      <w:pPr>
        <w:ind w:left="1416"/>
        <w:rPr>
          <w:sz w:val="12"/>
          <w:szCs w:val="12"/>
        </w:rPr>
      </w:pPr>
    </w:p>
    <w:p w:rsidR="009C6A85" w:rsidRDefault="009C6A85" w:rsidP="009C6A85">
      <w:pPr>
        <w:ind w:left="1416"/>
      </w:pPr>
      <w:r>
        <w:t xml:space="preserve">Joints d’étanchéité élastomères conformes à la norme DIN EN 681-1. </w:t>
      </w:r>
    </w:p>
    <w:p w:rsidR="009C6A85" w:rsidRPr="00864D46" w:rsidRDefault="009C6A85" w:rsidP="009C6A85">
      <w:pPr>
        <w:ind w:left="1416"/>
        <w:rPr>
          <w:sz w:val="16"/>
          <w:szCs w:val="16"/>
        </w:rPr>
      </w:pPr>
    </w:p>
    <w:p w:rsidR="009C6A85" w:rsidRDefault="009C6A85" w:rsidP="009C6A85">
      <w:pPr>
        <w:ind w:left="1416"/>
      </w:pPr>
      <w:r>
        <w:t>Dalle de répartition de charge en béton avec réservation pour recevoir un tampon standard de type LW 625.</w:t>
      </w:r>
    </w:p>
    <w:p w:rsidR="009C6A85" w:rsidRPr="00137D87" w:rsidRDefault="009C6A85" w:rsidP="009C6A85">
      <w:pPr>
        <w:ind w:left="2124"/>
        <w:rPr>
          <w:sz w:val="12"/>
          <w:szCs w:val="12"/>
        </w:rPr>
      </w:pPr>
    </w:p>
    <w:p w:rsidR="009C6A85" w:rsidRDefault="009C6A85" w:rsidP="009C6A85">
      <w:pPr>
        <w:ind w:left="708" w:firstLine="708"/>
      </w:pPr>
      <w:r>
        <w:t>Profondeur utile maximale : …..m</w:t>
      </w:r>
    </w:p>
    <w:p w:rsidR="009C6A85" w:rsidRDefault="009C6A85" w:rsidP="009C6A85">
      <w:pPr>
        <w:ind w:left="708" w:firstLine="708"/>
      </w:pPr>
      <w:r>
        <w:t>Tuyaux à raccorder :</w:t>
      </w:r>
    </w:p>
    <w:p w:rsidR="009C6A85" w:rsidRDefault="009C6A85" w:rsidP="009C6A85">
      <w:pPr>
        <w:ind w:left="708" w:firstLine="708"/>
      </w:pPr>
      <w:r>
        <w:t>Pente standard : 1%</w:t>
      </w:r>
    </w:p>
    <w:p w:rsidR="009C6A85" w:rsidRPr="00137D87" w:rsidRDefault="009C6A85" w:rsidP="009C6A85">
      <w:pPr>
        <w:ind w:left="2124"/>
        <w:rPr>
          <w:sz w:val="12"/>
          <w:szCs w:val="12"/>
        </w:rPr>
      </w:pPr>
    </w:p>
    <w:p w:rsidR="009C6A85" w:rsidRDefault="009C6A85" w:rsidP="009C6A85">
      <w:pPr>
        <w:ind w:left="1416"/>
      </w:pPr>
      <w:r>
        <w:t>Livrer le regard et tenir compte des instructions du fabricant pour la mise en œuvre.</w:t>
      </w:r>
    </w:p>
    <w:p w:rsidR="009C6A85" w:rsidRPr="00864D46" w:rsidRDefault="009C6A85" w:rsidP="009C6A85">
      <w:pPr>
        <w:ind w:left="2124"/>
        <w:rPr>
          <w:sz w:val="16"/>
          <w:szCs w:val="16"/>
        </w:rPr>
      </w:pPr>
      <w:r w:rsidRPr="00864D46">
        <w:rPr>
          <w:sz w:val="16"/>
          <w:szCs w:val="16"/>
        </w:rPr>
        <w:t xml:space="preserve">  </w:t>
      </w:r>
    </w:p>
    <w:p w:rsidR="009C6A85" w:rsidRDefault="009C6A85" w:rsidP="009C6A85">
      <w:pPr>
        <w:ind w:left="708" w:firstLine="708"/>
      </w:pPr>
      <w:r>
        <w:t>Système : Regard DUPLEX-PREDL DN 600 ou équivalent.</w:t>
      </w:r>
    </w:p>
    <w:p w:rsidR="009C6A85" w:rsidRPr="00BD64D1" w:rsidRDefault="009C6A85" w:rsidP="009C6A85">
      <w:pPr>
        <w:ind w:left="2124"/>
        <w:rPr>
          <w:sz w:val="20"/>
          <w:szCs w:val="20"/>
        </w:rPr>
      </w:pPr>
    </w:p>
    <w:p w:rsidR="009C6A85" w:rsidRDefault="009C6A85" w:rsidP="009C6A85">
      <w:pPr>
        <w:ind w:left="1416"/>
        <w:rPr>
          <w:b/>
          <w:u w:val="single"/>
        </w:rPr>
      </w:pPr>
      <w:r w:rsidRPr="00F70148">
        <w:rPr>
          <w:b/>
          <w:u w:val="single"/>
        </w:rPr>
        <w:t xml:space="preserve">Suppléments : </w:t>
      </w:r>
    </w:p>
    <w:p w:rsidR="009C6A85" w:rsidRPr="00864D46" w:rsidRDefault="009C6A85" w:rsidP="009C6A85">
      <w:pPr>
        <w:ind w:left="1416"/>
        <w:rPr>
          <w:b/>
          <w:sz w:val="16"/>
          <w:szCs w:val="16"/>
          <w:u w:val="single"/>
        </w:rPr>
      </w:pPr>
    </w:p>
    <w:p w:rsidR="009C6A85" w:rsidRPr="009E25E4" w:rsidRDefault="009C6A85" w:rsidP="009C6A85">
      <w:pPr>
        <w:ind w:left="1416"/>
      </w:pPr>
      <w:r>
        <w:t>Une échelle peut être rajoutée en option.</w:t>
      </w:r>
    </w:p>
    <w:p w:rsidR="009C6A85" w:rsidRPr="001E774D" w:rsidRDefault="009C6A85" w:rsidP="009C6A85">
      <w:pPr>
        <w:rPr>
          <w:sz w:val="16"/>
          <w:szCs w:val="16"/>
        </w:rPr>
      </w:pPr>
    </w:p>
    <w:p w:rsidR="009C6A85" w:rsidRDefault="009C6A85" w:rsidP="009C6A85">
      <w:r>
        <w:t>01.16</w:t>
      </w:r>
      <w:r>
        <w:tab/>
      </w:r>
      <w:r>
        <w:tab/>
        <w:t>Supplément pour angle dans cunette</w:t>
      </w:r>
    </w:p>
    <w:p w:rsidR="009C6A85" w:rsidRPr="001E774D" w:rsidRDefault="009C6A85" w:rsidP="009C6A85">
      <w:pPr>
        <w:rPr>
          <w:sz w:val="16"/>
          <w:szCs w:val="16"/>
        </w:rPr>
      </w:pPr>
    </w:p>
    <w:p w:rsidR="009C6A85" w:rsidRDefault="009C6A85" w:rsidP="009C6A85">
      <w:r>
        <w:t>01.17</w:t>
      </w:r>
      <w:r>
        <w:tab/>
      </w:r>
      <w:r>
        <w:tab/>
        <w:t>Supplément pour arrivée supplémentaire non-standard DN….</w:t>
      </w:r>
    </w:p>
    <w:p w:rsidR="009C6A85" w:rsidRPr="001E774D" w:rsidRDefault="009C6A85" w:rsidP="009C6A85">
      <w:pPr>
        <w:rPr>
          <w:sz w:val="16"/>
          <w:szCs w:val="16"/>
        </w:rPr>
      </w:pPr>
    </w:p>
    <w:p w:rsidR="009C6A85" w:rsidRDefault="009C6A85" w:rsidP="009C6A85">
      <w:pPr>
        <w:rPr>
          <w:rFonts w:ascii="Cambria" w:hAnsi="Cambria"/>
        </w:rPr>
      </w:pPr>
      <w:r>
        <w:t>01.18</w:t>
      </w:r>
      <w:r>
        <w:tab/>
      </w:r>
      <w:r>
        <w:tab/>
        <w:t xml:space="preserve">Supplément pour pente dans le manchon </w:t>
      </w:r>
      <w:r>
        <w:tab/>
        <w:t xml:space="preserve">  DN 150</w:t>
      </w:r>
      <w:r>
        <w:tab/>
      </w:r>
      <w:r>
        <w:tab/>
      </w:r>
      <w:r>
        <w:rPr>
          <w:rFonts w:ascii="Cambria" w:hAnsi="Cambria"/>
        </w:rPr>
        <w:t>≥ 4% - 10%</w:t>
      </w:r>
    </w:p>
    <w:p w:rsidR="009C6A85" w:rsidRPr="00474896" w:rsidRDefault="009C6A85" w:rsidP="009C6A85">
      <w:r w:rsidRPr="00474896">
        <w:tab/>
      </w:r>
      <w:r w:rsidRPr="00474896">
        <w:tab/>
      </w:r>
      <w:r w:rsidRPr="00474896">
        <w:tab/>
      </w:r>
      <w:r w:rsidRPr="00474896">
        <w:tab/>
      </w:r>
      <w:r w:rsidRPr="00474896">
        <w:tab/>
      </w:r>
      <w:r w:rsidRPr="00474896">
        <w:tab/>
      </w:r>
      <w:r w:rsidRPr="00474896">
        <w:tab/>
      </w:r>
      <w:r w:rsidRPr="00474896">
        <w:tab/>
        <w:t xml:space="preserve">  DN 200</w:t>
      </w:r>
      <w:r w:rsidRPr="00474896">
        <w:tab/>
      </w:r>
      <w:r w:rsidRPr="00474896">
        <w:tab/>
      </w:r>
      <w:r w:rsidRPr="00474896">
        <w:rPr>
          <w:rFonts w:ascii="Cambria" w:hAnsi="Cambria"/>
        </w:rPr>
        <w:t>≥</w:t>
      </w:r>
      <w:r w:rsidRPr="00474896">
        <w:t xml:space="preserve"> 3%  -10 %</w:t>
      </w:r>
    </w:p>
    <w:p w:rsidR="009C6A85" w:rsidRPr="00474896" w:rsidRDefault="009C6A85" w:rsidP="009C6A85">
      <w:pPr>
        <w:ind w:left="3540"/>
      </w:pPr>
      <w:r w:rsidRPr="00474896">
        <w:t xml:space="preserve">           </w:t>
      </w:r>
      <w:r w:rsidRPr="00474896">
        <w:tab/>
      </w:r>
      <w:r w:rsidRPr="00474896">
        <w:tab/>
      </w:r>
      <w:r w:rsidRPr="00474896">
        <w:tab/>
        <w:t xml:space="preserve">  DN 250 / 300 </w:t>
      </w:r>
      <w:r w:rsidRPr="00474896">
        <w:tab/>
      </w:r>
      <w:r w:rsidRPr="00474896">
        <w:rPr>
          <w:rFonts w:ascii="Cambria" w:hAnsi="Cambria"/>
        </w:rPr>
        <w:t>≥</w:t>
      </w:r>
      <w:r w:rsidRPr="00474896">
        <w:t xml:space="preserve"> 2%  -10 %</w:t>
      </w:r>
    </w:p>
    <w:p w:rsidR="009C6A85" w:rsidRDefault="009C6A85" w:rsidP="009C6A85"/>
    <w:p w:rsidR="009C6A85" w:rsidRDefault="009C6A85" w:rsidP="009C6A85">
      <w:r>
        <w:t>01.19</w:t>
      </w:r>
      <w:r>
        <w:tab/>
      </w:r>
      <w:r>
        <w:tab/>
        <w:t xml:space="preserve">Supplément pour pente dans le conduit principal </w:t>
      </w:r>
      <w:r>
        <w:rPr>
          <w:rFonts w:ascii="Cambria" w:hAnsi="Cambria"/>
        </w:rPr>
        <w:t>&gt;</w:t>
      </w:r>
      <w:r>
        <w:t xml:space="preserve"> 1% jusqu’à maxi. 10 %</w:t>
      </w:r>
    </w:p>
    <w:p w:rsidR="009C6A85" w:rsidRPr="001E774D" w:rsidRDefault="009C6A85" w:rsidP="009C6A85">
      <w:pPr>
        <w:rPr>
          <w:sz w:val="16"/>
          <w:szCs w:val="16"/>
        </w:rPr>
      </w:pPr>
    </w:p>
    <w:p w:rsidR="009C6A85" w:rsidRDefault="009C6A85" w:rsidP="009C6A85">
      <w:pPr>
        <w:ind w:left="1416" w:right="-715" w:hanging="1416"/>
      </w:pPr>
      <w:r>
        <w:t>01.20</w:t>
      </w:r>
      <w:r>
        <w:tab/>
        <w:t>Supplément pour changement de diamètre entre la sortie et l’entrée dans la cunette principale (sans réduire le diamètre de la cunette)</w:t>
      </w:r>
    </w:p>
    <w:p w:rsidR="009C6A85" w:rsidRPr="001E774D" w:rsidRDefault="009C6A85" w:rsidP="009C6A85">
      <w:pPr>
        <w:rPr>
          <w:sz w:val="16"/>
          <w:szCs w:val="16"/>
        </w:rPr>
      </w:pPr>
    </w:p>
    <w:p w:rsidR="009C6A85" w:rsidRDefault="009C6A85" w:rsidP="009C6A85">
      <w:r>
        <w:t>01.21</w:t>
      </w:r>
      <w:r>
        <w:tab/>
      </w:r>
      <w:r>
        <w:tab/>
        <w:t>Remplissage des parois de l’élément de base avec du béton</w:t>
      </w:r>
    </w:p>
    <w:p w:rsidR="009C6A85" w:rsidRDefault="009C6A85" w:rsidP="009C6A85"/>
    <w:p w:rsidR="009C6A85" w:rsidRDefault="009C6A85" w:rsidP="009C6A85"/>
    <w:p w:rsidR="009C6A85" w:rsidRDefault="009C6A85" w:rsidP="009C6A85">
      <w:pPr>
        <w:ind w:left="4248" w:right="-432" w:firstLine="708"/>
      </w:pPr>
      <w:r>
        <w:tab/>
      </w:r>
      <w:r>
        <w:tab/>
      </w:r>
      <w:r>
        <w:tab/>
      </w:r>
      <w:r>
        <w:tab/>
      </w:r>
      <w:r>
        <w:tab/>
        <w:t>A 9</w:t>
      </w:r>
    </w:p>
    <w:p w:rsidR="009C6A85" w:rsidRPr="0040781A" w:rsidRDefault="0040781A" w:rsidP="009C6A85">
      <w:pPr>
        <w:rPr>
          <w:b/>
        </w:rPr>
      </w:pPr>
      <w:r w:rsidRPr="0040781A">
        <w:rPr>
          <w:b/>
        </w:rPr>
        <w:t>8) REGARD DUPLEX-HYBRIDE PREDL MONOBLOC DN 1000</w:t>
      </w:r>
      <w:r w:rsidR="009C6A85" w:rsidRPr="0040781A">
        <w:rPr>
          <w:b/>
        </w:rPr>
        <w:t>Projet :</w:t>
      </w:r>
    </w:p>
    <w:p w:rsidR="0040781A" w:rsidRDefault="0040781A" w:rsidP="009C6A85"/>
    <w:p w:rsidR="0040781A" w:rsidRPr="00AC35F0" w:rsidRDefault="0040781A" w:rsidP="0040781A">
      <w:pPr>
        <w:rPr>
          <w:i/>
          <w:iCs/>
        </w:rPr>
      </w:pPr>
      <w:r w:rsidRPr="00AC35F0">
        <w:rPr>
          <w:i/>
          <w:iCs/>
        </w:rPr>
        <w:t>Modèles de prescription :</w:t>
      </w:r>
    </w:p>
    <w:p w:rsidR="0040781A" w:rsidRDefault="0040781A" w:rsidP="0040781A"/>
    <w:p w:rsidR="0040781A" w:rsidRDefault="0040781A" w:rsidP="0040781A">
      <w:r>
        <w:t>Projet :</w:t>
      </w:r>
    </w:p>
    <w:p w:rsidR="0040781A" w:rsidRDefault="0040781A" w:rsidP="0040781A">
      <w:r>
        <w:t xml:space="preserve">Descriptif : </w:t>
      </w:r>
    </w:p>
    <w:p w:rsidR="009C6A85" w:rsidRPr="00CC06A8" w:rsidRDefault="009C6A85" w:rsidP="009C6A85">
      <w:pPr>
        <w:rPr>
          <w:sz w:val="20"/>
          <w:szCs w:val="20"/>
        </w:rPr>
      </w:pPr>
    </w:p>
    <w:p w:rsidR="009C6A85" w:rsidRDefault="009C6A85" w:rsidP="009C6A85">
      <w:r>
        <w:t>OZ</w:t>
      </w:r>
      <w:r>
        <w:tab/>
        <w:t>Quantité</w:t>
      </w:r>
      <w:r>
        <w:tab/>
        <w:t>Unité</w:t>
      </w:r>
      <w:r>
        <w:tab/>
      </w:r>
      <w:r>
        <w:tab/>
      </w:r>
      <w:r>
        <w:tab/>
      </w:r>
      <w:r>
        <w:tab/>
      </w:r>
      <w:r>
        <w:tab/>
        <w:t>Prix unitaire</w:t>
      </w:r>
      <w:r>
        <w:tab/>
      </w:r>
      <w:r>
        <w:tab/>
        <w:t>Prix total</w:t>
      </w:r>
    </w:p>
    <w:p w:rsidR="009C6A85" w:rsidRPr="00CC06A8" w:rsidRDefault="009C6A85" w:rsidP="009C6A85">
      <w:pPr>
        <w:rPr>
          <w:sz w:val="20"/>
          <w:szCs w:val="20"/>
        </w:rPr>
      </w:pPr>
    </w:p>
    <w:p w:rsidR="009C6A85" w:rsidRDefault="009C6A85" w:rsidP="009C6A85">
      <w:r>
        <w:t xml:space="preserve">01.01                 </w:t>
      </w:r>
      <w:r w:rsidRPr="00A544F8">
        <w:rPr>
          <w:b/>
        </w:rPr>
        <w:t>Regard DUPLEX-</w:t>
      </w:r>
      <w:r>
        <w:rPr>
          <w:b/>
        </w:rPr>
        <w:t xml:space="preserve">Hybride </w:t>
      </w:r>
      <w:r w:rsidRPr="00A544F8">
        <w:rPr>
          <w:b/>
        </w:rPr>
        <w:t>Predl DN 1000</w:t>
      </w:r>
    </w:p>
    <w:p w:rsidR="009C6A85" w:rsidRPr="00CC06A8" w:rsidRDefault="009C6A85" w:rsidP="009C6A85">
      <w:pPr>
        <w:rPr>
          <w:sz w:val="16"/>
          <w:szCs w:val="16"/>
        </w:rPr>
      </w:pPr>
      <w:r w:rsidRPr="00CC06A8">
        <w:rPr>
          <w:sz w:val="16"/>
          <w:szCs w:val="16"/>
        </w:rPr>
        <w:tab/>
      </w:r>
      <w:r w:rsidRPr="00CC06A8">
        <w:rPr>
          <w:sz w:val="16"/>
          <w:szCs w:val="16"/>
        </w:rPr>
        <w:tab/>
      </w:r>
      <w:r w:rsidRPr="00CC06A8">
        <w:rPr>
          <w:sz w:val="16"/>
          <w:szCs w:val="16"/>
        </w:rPr>
        <w:tab/>
      </w:r>
    </w:p>
    <w:p w:rsidR="009C6A85" w:rsidRDefault="009C6A85" w:rsidP="009C6A85">
      <w:pPr>
        <w:ind w:left="1416"/>
      </w:pPr>
      <w:r>
        <w:t>Regard pour l’assainissement DN 1000, fabriqué en béton (qualité du béton selon DIN V4034-1) avec une cunette en PP ou en PRV coulée en usine (Système PREDL ou équivalent) avec une recouvrement jusqu’au premier emboîtement (en incluant le retour sur l’emboîtement).</w:t>
      </w:r>
    </w:p>
    <w:p w:rsidR="009C6A85" w:rsidRDefault="009C6A85" w:rsidP="009C6A85">
      <w:pPr>
        <w:ind w:left="1416"/>
      </w:pPr>
      <w:r>
        <w:t>Cunette en PP ou en PE comprenant un passage toute hauteur de tuyau, des manchons pour un branchement étanche des tuyaux d’assainissement usuels et une banquette antidérapante.</w:t>
      </w:r>
    </w:p>
    <w:p w:rsidR="009C6A85" w:rsidRDefault="009C6A85" w:rsidP="009C6A85">
      <w:pPr>
        <w:ind w:left="1416"/>
      </w:pPr>
      <w:r>
        <w:t>L’emboîtement de l’élément de base est prévu pour recevoir les rehausses DUPLEX et comprend des douilles filetés (M12) afin de pouvoir visser tous els éléments entre eux.</w:t>
      </w:r>
    </w:p>
    <w:p w:rsidR="009C6A85" w:rsidRDefault="009C6A85" w:rsidP="009C6A85">
      <w:pPr>
        <w:ind w:left="1416"/>
      </w:pPr>
      <w:r>
        <w:t xml:space="preserve"> </w:t>
      </w:r>
    </w:p>
    <w:p w:rsidR="009C6A85" w:rsidRDefault="009C6A85" w:rsidP="009C6A85">
      <w:pPr>
        <w:ind w:left="1416"/>
      </w:pPr>
      <w:r>
        <w:t>Les rehausses et le cône de réduction DUPLEX à structure à double paroi creuse, dans le sens horizontal et vertical, et qui peut être rempli pour lestage (avec du béton par ex.) dont l’écartement minimal entre les nervures de la paroi extérieure est de 40 mm avec une ouverture à 45°.</w:t>
      </w:r>
    </w:p>
    <w:p w:rsidR="009C6A85" w:rsidRPr="00435123" w:rsidRDefault="009C6A85" w:rsidP="009C6A85">
      <w:pPr>
        <w:ind w:left="1416"/>
      </w:pPr>
      <w:r>
        <w:t xml:space="preserve">Ils sont munis d’un rail de fixation moulé dans la masse pour recevoir une échelle en option conformément aux exigences de sécurité (caisse d’assurance et de prévention des accidents du travail et des maladies professionnelles en Allemagne). Le cône est constitué d’un télescope ajustable en hauteur et inclinable pour s’ajuster précisément à la pente de la </w:t>
      </w:r>
      <w:r w:rsidRPr="00435123">
        <w:t>chaussée.</w:t>
      </w:r>
    </w:p>
    <w:p w:rsidR="009C6A85" w:rsidRPr="00435123" w:rsidRDefault="009C6A85" w:rsidP="009C6A85">
      <w:pPr>
        <w:ind w:left="1416"/>
      </w:pPr>
    </w:p>
    <w:p w:rsidR="009C6A85" w:rsidRPr="00435123" w:rsidRDefault="009C6A85" w:rsidP="009C6A85">
      <w:pPr>
        <w:ind w:left="1416"/>
      </w:pPr>
      <w:r w:rsidRPr="00435123">
        <w:t xml:space="preserve">Joints d’étanchéité élastomères conformes à la norme DIN EN 681-1. </w:t>
      </w:r>
    </w:p>
    <w:p w:rsidR="009C6A85" w:rsidRPr="00435123" w:rsidRDefault="009C6A85" w:rsidP="009C6A85">
      <w:pPr>
        <w:ind w:left="1416"/>
        <w:rPr>
          <w:sz w:val="16"/>
          <w:szCs w:val="16"/>
        </w:rPr>
      </w:pPr>
    </w:p>
    <w:p w:rsidR="009C6A85" w:rsidRPr="00435123" w:rsidRDefault="009C6A85" w:rsidP="009C6A85">
      <w:pPr>
        <w:ind w:left="1416"/>
      </w:pPr>
      <w:r w:rsidRPr="00435123">
        <w:t>Dalle de répartition de charge en béton avec réservation pour recevoir un tampon standard de type LW 625.</w:t>
      </w:r>
    </w:p>
    <w:p w:rsidR="009C6A85" w:rsidRPr="00435123" w:rsidRDefault="009C6A85" w:rsidP="009C6A85">
      <w:pPr>
        <w:ind w:left="2124"/>
        <w:rPr>
          <w:sz w:val="16"/>
          <w:szCs w:val="16"/>
        </w:rPr>
      </w:pPr>
    </w:p>
    <w:p w:rsidR="009C6A85" w:rsidRPr="00435123" w:rsidRDefault="009C6A85" w:rsidP="009C6A85">
      <w:pPr>
        <w:ind w:left="708" w:firstLine="708"/>
      </w:pPr>
      <w:r w:rsidRPr="00435123">
        <w:t>Profondeur utile maximale : …..m</w:t>
      </w:r>
    </w:p>
    <w:p w:rsidR="009C6A85" w:rsidRPr="00435123" w:rsidRDefault="009C6A85" w:rsidP="009C6A85">
      <w:pPr>
        <w:ind w:left="708" w:firstLine="708"/>
      </w:pPr>
      <w:r w:rsidRPr="00435123">
        <w:t>Tuyaux à raccorder :</w:t>
      </w:r>
    </w:p>
    <w:p w:rsidR="009C6A85" w:rsidRPr="00435123" w:rsidRDefault="009C6A85" w:rsidP="009C6A85">
      <w:pPr>
        <w:ind w:left="2124"/>
        <w:rPr>
          <w:sz w:val="16"/>
          <w:szCs w:val="16"/>
        </w:rPr>
      </w:pPr>
    </w:p>
    <w:p w:rsidR="009C6A85" w:rsidRPr="00435123" w:rsidRDefault="009C6A85" w:rsidP="009C6A85">
      <w:pPr>
        <w:ind w:left="1416"/>
      </w:pPr>
      <w:r w:rsidRPr="00435123">
        <w:t>Toute livraison et montage du regard doit être réalisé conformément aux instructions du fabricant.</w:t>
      </w:r>
    </w:p>
    <w:p w:rsidR="009C6A85" w:rsidRPr="00435123" w:rsidRDefault="009C6A85" w:rsidP="009C6A85">
      <w:pPr>
        <w:ind w:left="2124"/>
        <w:rPr>
          <w:sz w:val="16"/>
          <w:szCs w:val="16"/>
        </w:rPr>
      </w:pPr>
      <w:r w:rsidRPr="00435123">
        <w:rPr>
          <w:sz w:val="16"/>
          <w:szCs w:val="16"/>
        </w:rPr>
        <w:t xml:space="preserve">  </w:t>
      </w:r>
    </w:p>
    <w:p w:rsidR="009C6A85" w:rsidRPr="00435123" w:rsidRDefault="009C6A85" w:rsidP="009C6A85">
      <w:pPr>
        <w:ind w:left="2124"/>
        <w:rPr>
          <w:sz w:val="16"/>
          <w:szCs w:val="16"/>
        </w:rPr>
      </w:pPr>
    </w:p>
    <w:p w:rsidR="009C6A85" w:rsidRPr="00435123" w:rsidRDefault="009C6A85" w:rsidP="009C6A85">
      <w:pPr>
        <w:ind w:left="708" w:firstLine="708"/>
        <w:rPr>
          <w:b/>
          <w:u w:val="single"/>
        </w:rPr>
      </w:pPr>
      <w:r w:rsidRPr="00435123">
        <w:rPr>
          <w:b/>
          <w:u w:val="single"/>
        </w:rPr>
        <w:t xml:space="preserve">Suppléments : </w:t>
      </w:r>
    </w:p>
    <w:p w:rsidR="009C6A85" w:rsidRPr="00435123" w:rsidRDefault="009C6A85" w:rsidP="009C6A85">
      <w:pPr>
        <w:rPr>
          <w:sz w:val="16"/>
          <w:szCs w:val="16"/>
        </w:rPr>
      </w:pPr>
      <w:r w:rsidRPr="00435123">
        <w:rPr>
          <w:sz w:val="16"/>
          <w:szCs w:val="16"/>
        </w:rPr>
        <w:tab/>
      </w:r>
    </w:p>
    <w:p w:rsidR="009C6A85" w:rsidRPr="00435123" w:rsidRDefault="009C6A85" w:rsidP="009C6A85">
      <w:r w:rsidRPr="00435123">
        <w:rPr>
          <w:sz w:val="16"/>
          <w:szCs w:val="16"/>
        </w:rPr>
        <w:tab/>
      </w:r>
      <w:r w:rsidRPr="00435123">
        <w:tab/>
        <w:t>Supplément pour angle dans cunette</w:t>
      </w:r>
    </w:p>
    <w:p w:rsidR="009C6A85" w:rsidRPr="00435123" w:rsidRDefault="009C6A85" w:rsidP="009C6A85">
      <w:pPr>
        <w:rPr>
          <w:sz w:val="22"/>
          <w:szCs w:val="22"/>
        </w:rPr>
      </w:pPr>
    </w:p>
    <w:p w:rsidR="009C6A85" w:rsidRPr="00435123" w:rsidRDefault="009C6A85" w:rsidP="009C6A85">
      <w:pPr>
        <w:rPr>
          <w:sz w:val="22"/>
          <w:szCs w:val="22"/>
        </w:rPr>
      </w:pPr>
      <w:r w:rsidRPr="00435123">
        <w:rPr>
          <w:sz w:val="22"/>
          <w:szCs w:val="22"/>
        </w:rPr>
        <w:tab/>
      </w:r>
      <w:r w:rsidRPr="00435123">
        <w:rPr>
          <w:sz w:val="22"/>
          <w:szCs w:val="22"/>
        </w:rPr>
        <w:tab/>
        <w:t>Supplément pour une pente dans la cunette jusqu’à</w:t>
      </w:r>
      <w:r w:rsidRPr="00435123">
        <w:rPr>
          <w:rFonts w:ascii="Cambria" w:hAnsi="Cambria"/>
          <w:sz w:val="22"/>
          <w:szCs w:val="22"/>
        </w:rPr>
        <w:t xml:space="preserve"> </w:t>
      </w:r>
      <w:r w:rsidRPr="00435123">
        <w:rPr>
          <w:sz w:val="22"/>
          <w:szCs w:val="22"/>
        </w:rPr>
        <w:t xml:space="preserve"> 10% (S 7)</w:t>
      </w:r>
    </w:p>
    <w:p w:rsidR="009C6A85" w:rsidRPr="00435123" w:rsidRDefault="009C6A85" w:rsidP="009C6A85">
      <w:pPr>
        <w:rPr>
          <w:sz w:val="22"/>
          <w:szCs w:val="22"/>
        </w:rPr>
      </w:pPr>
      <w:r w:rsidRPr="00435123">
        <w:rPr>
          <w:sz w:val="22"/>
          <w:szCs w:val="22"/>
        </w:rPr>
        <w:tab/>
      </w:r>
      <w:r w:rsidRPr="00435123">
        <w:rPr>
          <w:sz w:val="22"/>
          <w:szCs w:val="22"/>
        </w:rPr>
        <w:tab/>
        <w:t>Ou</w:t>
      </w:r>
    </w:p>
    <w:p w:rsidR="009C6A85" w:rsidRPr="00435123" w:rsidRDefault="009C6A85" w:rsidP="009C6A85">
      <w:pPr>
        <w:rPr>
          <w:sz w:val="22"/>
          <w:szCs w:val="22"/>
        </w:rPr>
      </w:pPr>
      <w:r w:rsidRPr="00435123">
        <w:rPr>
          <w:sz w:val="22"/>
          <w:szCs w:val="22"/>
        </w:rPr>
        <w:tab/>
      </w:r>
      <w:r w:rsidRPr="00435123">
        <w:rPr>
          <w:sz w:val="22"/>
          <w:szCs w:val="22"/>
        </w:rPr>
        <w:tab/>
        <w:t>Pente jusqu’à 15% (S 7 a)</w:t>
      </w:r>
    </w:p>
    <w:p w:rsidR="009C6A85" w:rsidRPr="00435123" w:rsidRDefault="009C6A85" w:rsidP="009C6A85">
      <w:pPr>
        <w:rPr>
          <w:sz w:val="22"/>
          <w:szCs w:val="22"/>
        </w:rPr>
      </w:pPr>
      <w:r w:rsidRPr="00435123">
        <w:rPr>
          <w:sz w:val="22"/>
          <w:szCs w:val="22"/>
        </w:rPr>
        <w:tab/>
      </w:r>
      <w:r w:rsidRPr="00435123">
        <w:rPr>
          <w:sz w:val="22"/>
          <w:szCs w:val="22"/>
        </w:rPr>
        <w:tab/>
        <w:t>Pente jusqu’à 20% (S 7 b)</w:t>
      </w:r>
    </w:p>
    <w:p w:rsidR="009C6A85" w:rsidRPr="00435123" w:rsidRDefault="009C6A85" w:rsidP="009C6A85">
      <w:pPr>
        <w:rPr>
          <w:sz w:val="22"/>
          <w:szCs w:val="22"/>
        </w:rPr>
      </w:pPr>
      <w:r w:rsidRPr="00435123">
        <w:rPr>
          <w:sz w:val="22"/>
          <w:szCs w:val="22"/>
        </w:rPr>
        <w:tab/>
      </w:r>
      <w:r w:rsidRPr="00435123">
        <w:rPr>
          <w:sz w:val="22"/>
          <w:szCs w:val="22"/>
        </w:rPr>
        <w:tab/>
        <w:t>Pente jusqu’à 25% (S 7 c)</w:t>
      </w:r>
    </w:p>
    <w:p w:rsidR="009C6A85" w:rsidRPr="00435123" w:rsidRDefault="009C6A85" w:rsidP="009C6A85">
      <w:pPr>
        <w:rPr>
          <w:sz w:val="22"/>
          <w:szCs w:val="22"/>
        </w:rPr>
      </w:pPr>
      <w:r w:rsidRPr="00435123">
        <w:rPr>
          <w:sz w:val="22"/>
          <w:szCs w:val="22"/>
        </w:rPr>
        <w:tab/>
      </w:r>
      <w:r w:rsidRPr="00435123">
        <w:rPr>
          <w:sz w:val="22"/>
          <w:szCs w:val="22"/>
        </w:rPr>
        <w:tab/>
        <w:t>Pente jusqu’à 40% (S 7 d)</w:t>
      </w:r>
    </w:p>
    <w:p w:rsidR="009C6A85" w:rsidRDefault="009C6A85" w:rsidP="009C6A85">
      <w:pPr>
        <w:rPr>
          <w:sz w:val="22"/>
          <w:szCs w:val="22"/>
        </w:rPr>
      </w:pPr>
    </w:p>
    <w:p w:rsidR="009C6A85" w:rsidRDefault="009C6A85" w:rsidP="009C6A85">
      <w:pPr>
        <w:rPr>
          <w:sz w:val="22"/>
          <w:szCs w:val="22"/>
        </w:rPr>
      </w:pPr>
    </w:p>
    <w:p w:rsidR="009C6A85" w:rsidRPr="00435123" w:rsidRDefault="009C6A85" w:rsidP="009C6A85">
      <w:pPr>
        <w:rPr>
          <w:sz w:val="22"/>
          <w:szCs w:val="22"/>
        </w:rPr>
      </w:pPr>
    </w:p>
    <w:p w:rsidR="009C6A85" w:rsidRPr="00435123" w:rsidRDefault="009C6A85" w:rsidP="009C6A85">
      <w:pPr>
        <w:rPr>
          <w:sz w:val="22"/>
          <w:szCs w:val="22"/>
        </w:rPr>
      </w:pPr>
      <w:r w:rsidRPr="00435123">
        <w:rPr>
          <w:sz w:val="22"/>
          <w:szCs w:val="22"/>
        </w:rPr>
        <w:tab/>
      </w:r>
      <w:r w:rsidRPr="00435123">
        <w:rPr>
          <w:sz w:val="22"/>
          <w:szCs w:val="22"/>
        </w:rPr>
        <w:tab/>
        <w:t xml:space="preserve">Supplément pour une pente dans le manchon à partir de 6% </w:t>
      </w:r>
    </w:p>
    <w:p w:rsidR="009C6A85" w:rsidRPr="00435123" w:rsidRDefault="009C6A85" w:rsidP="009C6A85">
      <w:pPr>
        <w:rPr>
          <w:sz w:val="22"/>
          <w:szCs w:val="22"/>
        </w:rPr>
      </w:pPr>
      <w:r w:rsidRPr="00435123">
        <w:rPr>
          <w:sz w:val="22"/>
          <w:szCs w:val="22"/>
        </w:rPr>
        <w:tab/>
      </w:r>
      <w:r w:rsidRPr="00435123">
        <w:rPr>
          <w:sz w:val="22"/>
          <w:szCs w:val="22"/>
        </w:rPr>
        <w:tab/>
        <w:t>S 0 pour manchons DN150/200</w:t>
      </w:r>
    </w:p>
    <w:p w:rsidR="009C6A85" w:rsidRPr="00435123" w:rsidRDefault="009C6A85" w:rsidP="009C6A85">
      <w:pPr>
        <w:rPr>
          <w:sz w:val="22"/>
          <w:szCs w:val="22"/>
        </w:rPr>
      </w:pPr>
      <w:r w:rsidRPr="00435123">
        <w:rPr>
          <w:sz w:val="22"/>
          <w:szCs w:val="22"/>
        </w:rPr>
        <w:tab/>
      </w:r>
      <w:r w:rsidRPr="00435123">
        <w:rPr>
          <w:sz w:val="22"/>
          <w:szCs w:val="22"/>
        </w:rPr>
        <w:tab/>
        <w:t>S 1 pour manchons DN 250/300</w:t>
      </w:r>
    </w:p>
    <w:p w:rsidR="009C6A85" w:rsidRPr="00435123" w:rsidRDefault="009C6A85" w:rsidP="009C6A85">
      <w:pPr>
        <w:rPr>
          <w:sz w:val="22"/>
          <w:szCs w:val="22"/>
        </w:rPr>
      </w:pPr>
    </w:p>
    <w:p w:rsidR="009C6A85" w:rsidRPr="00435123" w:rsidRDefault="009C6A85" w:rsidP="009C6A85">
      <w:pPr>
        <w:rPr>
          <w:sz w:val="22"/>
          <w:szCs w:val="22"/>
        </w:rPr>
      </w:pPr>
      <w:r w:rsidRPr="00435123">
        <w:rPr>
          <w:sz w:val="22"/>
          <w:szCs w:val="22"/>
        </w:rPr>
        <w:tab/>
      </w:r>
      <w:r w:rsidRPr="00435123">
        <w:rPr>
          <w:sz w:val="22"/>
          <w:szCs w:val="22"/>
        </w:rPr>
        <w:tab/>
        <w:t>Supplément pour une pente dans le manchon à partir de 2%</w:t>
      </w:r>
    </w:p>
    <w:p w:rsidR="009C6A85" w:rsidRDefault="009C6A85" w:rsidP="009C6A85">
      <w:pPr>
        <w:rPr>
          <w:sz w:val="22"/>
          <w:szCs w:val="22"/>
        </w:rPr>
      </w:pPr>
      <w:r w:rsidRPr="00435123">
        <w:rPr>
          <w:sz w:val="22"/>
          <w:szCs w:val="22"/>
        </w:rPr>
        <w:tab/>
      </w:r>
      <w:r w:rsidRPr="00435123">
        <w:rPr>
          <w:sz w:val="22"/>
          <w:szCs w:val="22"/>
        </w:rPr>
        <w:tab/>
        <w:t xml:space="preserve">S 2 pour manchons </w:t>
      </w:r>
      <w:r w:rsidRPr="00435123">
        <w:rPr>
          <w:rFonts w:ascii="MS Gothic" w:eastAsia="MS Gothic"/>
          <w:color w:val="000000"/>
          <w:sz w:val="22"/>
          <w:szCs w:val="22"/>
        </w:rPr>
        <w:t xml:space="preserve">&gt; </w:t>
      </w:r>
      <w:r w:rsidRPr="00435123">
        <w:rPr>
          <w:sz w:val="22"/>
          <w:szCs w:val="22"/>
        </w:rPr>
        <w:t>DN 300</w:t>
      </w:r>
    </w:p>
    <w:p w:rsidR="009C6A85" w:rsidRDefault="009C6A85" w:rsidP="009C6A85">
      <w:pPr>
        <w:rPr>
          <w:sz w:val="22"/>
          <w:szCs w:val="22"/>
        </w:rPr>
      </w:pPr>
    </w:p>
    <w:p w:rsidR="009C6A85" w:rsidRPr="00435123" w:rsidRDefault="009C6A85" w:rsidP="009C6A85">
      <w:pPr>
        <w:rPr>
          <w:sz w:val="22"/>
          <w:szCs w:val="22"/>
        </w:rPr>
      </w:pPr>
      <w:r>
        <w:rPr>
          <w:sz w:val="22"/>
          <w:szCs w:val="22"/>
        </w:rPr>
        <w:tab/>
      </w:r>
      <w:r>
        <w:rPr>
          <w:sz w:val="22"/>
          <w:szCs w:val="22"/>
        </w:rPr>
        <w:tab/>
      </w:r>
      <w:r w:rsidRPr="00435123">
        <w:rPr>
          <w:sz w:val="22"/>
          <w:szCs w:val="22"/>
        </w:rPr>
        <w:t xml:space="preserve">Supplément S 5 pour changement de diamètre dans la cunette avec </w:t>
      </w:r>
      <w:r>
        <w:rPr>
          <w:sz w:val="22"/>
          <w:szCs w:val="22"/>
        </w:rPr>
        <w:tab/>
      </w:r>
      <w:r>
        <w:rPr>
          <w:sz w:val="22"/>
          <w:szCs w:val="22"/>
        </w:rPr>
        <w:tab/>
      </w:r>
      <w:r>
        <w:rPr>
          <w:sz w:val="22"/>
          <w:szCs w:val="22"/>
        </w:rPr>
        <w:tab/>
      </w:r>
      <w:r>
        <w:rPr>
          <w:sz w:val="22"/>
          <w:szCs w:val="22"/>
        </w:rPr>
        <w:tab/>
      </w:r>
      <w:r w:rsidRPr="00435123">
        <w:rPr>
          <w:sz w:val="22"/>
          <w:szCs w:val="22"/>
        </w:rPr>
        <w:t>rétrécissement du canal.</w:t>
      </w:r>
    </w:p>
    <w:p w:rsidR="009C6A85" w:rsidRPr="0040781A" w:rsidRDefault="009C6A85" w:rsidP="009C6A85">
      <w:pPr>
        <w:rPr>
          <w:sz w:val="8"/>
          <w:szCs w:val="8"/>
        </w:rPr>
      </w:pPr>
    </w:p>
    <w:p w:rsidR="009C6A85" w:rsidRPr="00435123" w:rsidRDefault="009C6A85" w:rsidP="009C6A85">
      <w:pPr>
        <w:rPr>
          <w:sz w:val="22"/>
          <w:szCs w:val="22"/>
        </w:rPr>
      </w:pPr>
      <w:r w:rsidRPr="00435123">
        <w:rPr>
          <w:sz w:val="22"/>
          <w:szCs w:val="22"/>
        </w:rPr>
        <w:tab/>
      </w:r>
      <w:r w:rsidRPr="00435123">
        <w:rPr>
          <w:sz w:val="22"/>
          <w:szCs w:val="22"/>
        </w:rPr>
        <w:tab/>
        <w:t>Canal DN ……… /DN………</w:t>
      </w:r>
    </w:p>
    <w:p w:rsidR="009C6A85" w:rsidRPr="00435123" w:rsidRDefault="009C6A85" w:rsidP="009C6A85">
      <w:pPr>
        <w:rPr>
          <w:sz w:val="22"/>
          <w:szCs w:val="22"/>
        </w:rPr>
      </w:pPr>
    </w:p>
    <w:p w:rsidR="009C6A85" w:rsidRPr="00435123" w:rsidRDefault="009C6A85" w:rsidP="009C6A85">
      <w:pPr>
        <w:rPr>
          <w:sz w:val="22"/>
          <w:szCs w:val="22"/>
        </w:rPr>
      </w:pPr>
      <w:r w:rsidRPr="00435123">
        <w:rPr>
          <w:sz w:val="22"/>
          <w:szCs w:val="22"/>
        </w:rPr>
        <w:tab/>
      </w:r>
      <w:r w:rsidRPr="00435123">
        <w:rPr>
          <w:sz w:val="22"/>
          <w:szCs w:val="22"/>
        </w:rPr>
        <w:tab/>
        <w:t xml:space="preserve">Supplément S 6 pour intégrer des marches </w:t>
      </w:r>
    </w:p>
    <w:p w:rsidR="009C6A85" w:rsidRPr="00435123" w:rsidRDefault="009C6A85" w:rsidP="009C6A85">
      <w:pPr>
        <w:rPr>
          <w:sz w:val="22"/>
          <w:szCs w:val="22"/>
        </w:rPr>
      </w:pPr>
    </w:p>
    <w:p w:rsidR="009C6A85" w:rsidRPr="00435123" w:rsidRDefault="009C6A85" w:rsidP="009C6A85">
      <w:pPr>
        <w:rPr>
          <w:sz w:val="22"/>
          <w:szCs w:val="22"/>
        </w:rPr>
      </w:pPr>
      <w:r w:rsidRPr="00435123">
        <w:rPr>
          <w:sz w:val="22"/>
          <w:szCs w:val="22"/>
        </w:rPr>
        <w:tab/>
      </w:r>
      <w:r w:rsidRPr="00435123">
        <w:rPr>
          <w:sz w:val="22"/>
          <w:szCs w:val="22"/>
        </w:rPr>
        <w:tab/>
        <w:t>Supplément S 8 pour une passage excentré</w:t>
      </w:r>
    </w:p>
    <w:p w:rsidR="009C6A85" w:rsidRPr="00435123" w:rsidRDefault="009C6A85" w:rsidP="009C6A85">
      <w:pPr>
        <w:rPr>
          <w:sz w:val="22"/>
          <w:szCs w:val="22"/>
        </w:rPr>
      </w:pPr>
    </w:p>
    <w:p w:rsidR="009C6A85" w:rsidRPr="00435123" w:rsidRDefault="009C6A85" w:rsidP="009C6A85">
      <w:pPr>
        <w:rPr>
          <w:sz w:val="22"/>
          <w:szCs w:val="22"/>
        </w:rPr>
      </w:pPr>
      <w:r w:rsidRPr="00435123">
        <w:rPr>
          <w:sz w:val="22"/>
          <w:szCs w:val="22"/>
        </w:rPr>
        <w:tab/>
      </w:r>
      <w:r w:rsidRPr="00435123">
        <w:rPr>
          <w:sz w:val="22"/>
          <w:szCs w:val="22"/>
        </w:rPr>
        <w:tab/>
        <w:t>Supplément pour des arrives supplémentaires</w:t>
      </w:r>
    </w:p>
    <w:p w:rsidR="009C6A85" w:rsidRPr="00435123" w:rsidRDefault="009C6A85" w:rsidP="009C6A85">
      <w:pPr>
        <w:rPr>
          <w:sz w:val="22"/>
          <w:szCs w:val="22"/>
        </w:rPr>
      </w:pPr>
      <w:r w:rsidRPr="00435123">
        <w:rPr>
          <w:sz w:val="22"/>
          <w:szCs w:val="22"/>
        </w:rPr>
        <w:tab/>
      </w:r>
      <w:r w:rsidRPr="00435123">
        <w:rPr>
          <w:sz w:val="22"/>
          <w:szCs w:val="22"/>
        </w:rPr>
        <w:tab/>
      </w:r>
    </w:p>
    <w:p w:rsidR="009C6A85" w:rsidRPr="00435123" w:rsidRDefault="009C6A85" w:rsidP="009C6A85">
      <w:pPr>
        <w:rPr>
          <w:sz w:val="22"/>
          <w:szCs w:val="22"/>
        </w:rPr>
      </w:pPr>
      <w:r w:rsidRPr="00435123">
        <w:rPr>
          <w:sz w:val="22"/>
          <w:szCs w:val="22"/>
        </w:rPr>
        <w:tab/>
      </w:r>
      <w:r w:rsidRPr="00435123">
        <w:rPr>
          <w:sz w:val="22"/>
          <w:szCs w:val="22"/>
        </w:rPr>
        <w:tab/>
        <w:t xml:space="preserve">Supplément pour positionner l’arrivée plus basse que la baquette  </w:t>
      </w:r>
    </w:p>
    <w:p w:rsidR="009C6A85" w:rsidRPr="00474896" w:rsidRDefault="009C6A85" w:rsidP="009C6A85">
      <w:pPr>
        <w:rPr>
          <w:sz w:val="22"/>
          <w:szCs w:val="22"/>
          <w:lang w:val="en-GB"/>
        </w:rPr>
      </w:pPr>
      <w:r w:rsidRPr="00435123">
        <w:rPr>
          <w:sz w:val="22"/>
          <w:szCs w:val="22"/>
        </w:rPr>
        <w:tab/>
      </w:r>
      <w:r w:rsidRPr="00435123">
        <w:rPr>
          <w:sz w:val="22"/>
          <w:szCs w:val="22"/>
        </w:rPr>
        <w:tab/>
      </w:r>
      <w:r w:rsidRPr="00474896">
        <w:rPr>
          <w:sz w:val="22"/>
          <w:szCs w:val="22"/>
          <w:lang w:val="en-GB"/>
        </w:rPr>
        <w:t xml:space="preserve">S 3 </w:t>
      </w:r>
      <w:proofErr w:type="spellStart"/>
      <w:r w:rsidRPr="00474896">
        <w:rPr>
          <w:sz w:val="22"/>
          <w:szCs w:val="22"/>
          <w:lang w:val="en-GB"/>
        </w:rPr>
        <w:t>jusqu’à</w:t>
      </w:r>
      <w:proofErr w:type="spellEnd"/>
      <w:r w:rsidRPr="00474896">
        <w:rPr>
          <w:sz w:val="22"/>
          <w:szCs w:val="22"/>
          <w:lang w:val="en-GB"/>
        </w:rPr>
        <w:t xml:space="preserve"> 50 mm</w:t>
      </w:r>
    </w:p>
    <w:p w:rsidR="009C6A85" w:rsidRPr="00474896" w:rsidRDefault="009C6A85" w:rsidP="009C6A85">
      <w:pPr>
        <w:rPr>
          <w:sz w:val="22"/>
          <w:szCs w:val="22"/>
          <w:lang w:val="en-GB"/>
        </w:rPr>
      </w:pPr>
      <w:r w:rsidRPr="00474896">
        <w:rPr>
          <w:sz w:val="22"/>
          <w:szCs w:val="22"/>
          <w:lang w:val="en-GB"/>
        </w:rPr>
        <w:tab/>
      </w:r>
      <w:r w:rsidRPr="00474896">
        <w:rPr>
          <w:sz w:val="22"/>
          <w:szCs w:val="22"/>
          <w:lang w:val="en-GB"/>
        </w:rPr>
        <w:tab/>
        <w:t xml:space="preserve">S 3a </w:t>
      </w:r>
      <w:proofErr w:type="spellStart"/>
      <w:r w:rsidRPr="00474896">
        <w:rPr>
          <w:sz w:val="22"/>
          <w:szCs w:val="22"/>
          <w:lang w:val="en-GB"/>
        </w:rPr>
        <w:t>jusqu’à</w:t>
      </w:r>
      <w:proofErr w:type="spellEnd"/>
      <w:r w:rsidRPr="00474896">
        <w:rPr>
          <w:sz w:val="22"/>
          <w:szCs w:val="22"/>
          <w:lang w:val="en-GB"/>
        </w:rPr>
        <w:t xml:space="preserve"> 100 mm</w:t>
      </w:r>
    </w:p>
    <w:p w:rsidR="009C6A85" w:rsidRPr="00474896" w:rsidRDefault="009C6A85" w:rsidP="009C6A85">
      <w:pPr>
        <w:rPr>
          <w:sz w:val="22"/>
          <w:szCs w:val="22"/>
          <w:lang w:val="en-GB"/>
        </w:rPr>
      </w:pPr>
      <w:r w:rsidRPr="00474896">
        <w:rPr>
          <w:sz w:val="22"/>
          <w:szCs w:val="22"/>
          <w:lang w:val="en-GB"/>
        </w:rPr>
        <w:tab/>
      </w:r>
      <w:r w:rsidRPr="00474896">
        <w:rPr>
          <w:sz w:val="22"/>
          <w:szCs w:val="22"/>
          <w:lang w:val="en-GB"/>
        </w:rPr>
        <w:tab/>
        <w:t xml:space="preserve">S 3b </w:t>
      </w:r>
      <w:proofErr w:type="spellStart"/>
      <w:r w:rsidRPr="00474896">
        <w:rPr>
          <w:sz w:val="22"/>
          <w:szCs w:val="22"/>
          <w:lang w:val="en-GB"/>
        </w:rPr>
        <w:t>jusqu’à</w:t>
      </w:r>
      <w:proofErr w:type="spellEnd"/>
      <w:r w:rsidRPr="00474896">
        <w:rPr>
          <w:sz w:val="22"/>
          <w:szCs w:val="22"/>
          <w:lang w:val="en-GB"/>
        </w:rPr>
        <w:t xml:space="preserve"> 200 mm</w:t>
      </w:r>
    </w:p>
    <w:p w:rsidR="009C6A85" w:rsidRPr="00474896" w:rsidRDefault="009C6A85" w:rsidP="009C6A85">
      <w:pPr>
        <w:rPr>
          <w:sz w:val="22"/>
          <w:szCs w:val="22"/>
          <w:lang w:val="en-GB"/>
        </w:rPr>
      </w:pPr>
      <w:r w:rsidRPr="00474896">
        <w:rPr>
          <w:sz w:val="22"/>
          <w:szCs w:val="22"/>
          <w:lang w:val="en-GB"/>
        </w:rPr>
        <w:tab/>
      </w:r>
      <w:r w:rsidRPr="00474896">
        <w:rPr>
          <w:sz w:val="22"/>
          <w:szCs w:val="22"/>
          <w:lang w:val="en-GB"/>
        </w:rPr>
        <w:tab/>
        <w:t xml:space="preserve">S 3c </w:t>
      </w:r>
      <w:proofErr w:type="spellStart"/>
      <w:r w:rsidRPr="00474896">
        <w:rPr>
          <w:sz w:val="22"/>
          <w:szCs w:val="22"/>
          <w:lang w:val="en-GB"/>
        </w:rPr>
        <w:t>jusqu’à</w:t>
      </w:r>
      <w:proofErr w:type="spellEnd"/>
      <w:r w:rsidRPr="00474896">
        <w:rPr>
          <w:sz w:val="22"/>
          <w:szCs w:val="22"/>
          <w:lang w:val="en-GB"/>
        </w:rPr>
        <w:t xml:space="preserve"> 300 mm</w:t>
      </w:r>
    </w:p>
    <w:p w:rsidR="009C6A85" w:rsidRPr="00435123" w:rsidRDefault="009C6A85" w:rsidP="009C6A85">
      <w:pPr>
        <w:rPr>
          <w:sz w:val="22"/>
          <w:szCs w:val="22"/>
        </w:rPr>
      </w:pPr>
      <w:r w:rsidRPr="00474896">
        <w:rPr>
          <w:sz w:val="22"/>
          <w:szCs w:val="22"/>
          <w:lang w:val="en-GB"/>
        </w:rPr>
        <w:tab/>
      </w:r>
      <w:r w:rsidRPr="00474896">
        <w:rPr>
          <w:sz w:val="22"/>
          <w:szCs w:val="22"/>
          <w:lang w:val="en-GB"/>
        </w:rPr>
        <w:tab/>
      </w:r>
      <w:r w:rsidRPr="00435123">
        <w:rPr>
          <w:sz w:val="22"/>
          <w:szCs w:val="22"/>
        </w:rPr>
        <w:t>S 3d jusqu’à 500 mm</w:t>
      </w:r>
    </w:p>
    <w:p w:rsidR="009C6A85" w:rsidRPr="00435123" w:rsidRDefault="009C6A85" w:rsidP="009C6A85">
      <w:pPr>
        <w:rPr>
          <w:sz w:val="22"/>
          <w:szCs w:val="22"/>
        </w:rPr>
      </w:pPr>
    </w:p>
    <w:p w:rsidR="009C6A85" w:rsidRPr="00435123" w:rsidRDefault="009C6A85" w:rsidP="009C6A85">
      <w:pPr>
        <w:rPr>
          <w:sz w:val="22"/>
          <w:szCs w:val="22"/>
        </w:rPr>
      </w:pPr>
      <w:r w:rsidRPr="00435123">
        <w:rPr>
          <w:sz w:val="22"/>
          <w:szCs w:val="22"/>
        </w:rPr>
        <w:tab/>
      </w:r>
      <w:r w:rsidRPr="00435123">
        <w:rPr>
          <w:sz w:val="22"/>
          <w:szCs w:val="22"/>
        </w:rPr>
        <w:tab/>
        <w:t xml:space="preserve">Supplément pour positionner l’arrivée plus haute la baquette  </w:t>
      </w:r>
      <w:r w:rsidRPr="00435123">
        <w:rPr>
          <w:sz w:val="22"/>
          <w:szCs w:val="22"/>
        </w:rPr>
        <w:tab/>
      </w:r>
    </w:p>
    <w:p w:rsidR="009C6A85" w:rsidRPr="00474896" w:rsidRDefault="009C6A85" w:rsidP="009C6A85">
      <w:pPr>
        <w:rPr>
          <w:sz w:val="22"/>
          <w:szCs w:val="22"/>
          <w:lang w:val="en-GB"/>
        </w:rPr>
      </w:pPr>
      <w:r w:rsidRPr="00435123">
        <w:rPr>
          <w:sz w:val="22"/>
          <w:szCs w:val="22"/>
        </w:rPr>
        <w:tab/>
      </w:r>
      <w:r w:rsidRPr="00435123">
        <w:rPr>
          <w:sz w:val="22"/>
          <w:szCs w:val="22"/>
        </w:rPr>
        <w:tab/>
      </w:r>
      <w:r w:rsidRPr="00474896">
        <w:rPr>
          <w:sz w:val="22"/>
          <w:szCs w:val="22"/>
          <w:lang w:val="en-GB"/>
        </w:rPr>
        <w:t xml:space="preserve">S 4 </w:t>
      </w:r>
      <w:proofErr w:type="spellStart"/>
      <w:r w:rsidRPr="00474896">
        <w:rPr>
          <w:sz w:val="22"/>
          <w:szCs w:val="22"/>
          <w:lang w:val="en-GB"/>
        </w:rPr>
        <w:t>jusqu’à</w:t>
      </w:r>
      <w:proofErr w:type="spellEnd"/>
      <w:r w:rsidRPr="00474896">
        <w:rPr>
          <w:sz w:val="22"/>
          <w:szCs w:val="22"/>
          <w:lang w:val="en-GB"/>
        </w:rPr>
        <w:t xml:space="preserve"> 50 mm</w:t>
      </w:r>
    </w:p>
    <w:p w:rsidR="009C6A85" w:rsidRPr="00474896" w:rsidRDefault="009C6A85" w:rsidP="009C6A85">
      <w:pPr>
        <w:rPr>
          <w:sz w:val="22"/>
          <w:szCs w:val="22"/>
          <w:lang w:val="en-GB"/>
        </w:rPr>
      </w:pPr>
      <w:r w:rsidRPr="00474896">
        <w:rPr>
          <w:sz w:val="22"/>
          <w:szCs w:val="22"/>
          <w:lang w:val="en-GB"/>
        </w:rPr>
        <w:tab/>
      </w:r>
      <w:r w:rsidRPr="00474896">
        <w:rPr>
          <w:sz w:val="22"/>
          <w:szCs w:val="22"/>
          <w:lang w:val="en-GB"/>
        </w:rPr>
        <w:tab/>
        <w:t xml:space="preserve">S 4a </w:t>
      </w:r>
      <w:proofErr w:type="spellStart"/>
      <w:r w:rsidRPr="00474896">
        <w:rPr>
          <w:sz w:val="22"/>
          <w:szCs w:val="22"/>
          <w:lang w:val="en-GB"/>
        </w:rPr>
        <w:t>jusqu’à</w:t>
      </w:r>
      <w:proofErr w:type="spellEnd"/>
      <w:r w:rsidRPr="00474896">
        <w:rPr>
          <w:sz w:val="22"/>
          <w:szCs w:val="22"/>
          <w:lang w:val="en-GB"/>
        </w:rPr>
        <w:t xml:space="preserve"> 100 mm</w:t>
      </w:r>
    </w:p>
    <w:p w:rsidR="009C6A85" w:rsidRPr="00474896" w:rsidRDefault="009C6A85" w:rsidP="009C6A85">
      <w:pPr>
        <w:rPr>
          <w:sz w:val="22"/>
          <w:szCs w:val="22"/>
          <w:lang w:val="en-GB"/>
        </w:rPr>
      </w:pPr>
      <w:r w:rsidRPr="00474896">
        <w:rPr>
          <w:sz w:val="22"/>
          <w:szCs w:val="22"/>
          <w:lang w:val="en-GB"/>
        </w:rPr>
        <w:tab/>
      </w:r>
      <w:r w:rsidRPr="00474896">
        <w:rPr>
          <w:sz w:val="22"/>
          <w:szCs w:val="22"/>
          <w:lang w:val="en-GB"/>
        </w:rPr>
        <w:tab/>
        <w:t xml:space="preserve">S 4b </w:t>
      </w:r>
      <w:proofErr w:type="spellStart"/>
      <w:r w:rsidRPr="00474896">
        <w:rPr>
          <w:sz w:val="22"/>
          <w:szCs w:val="22"/>
          <w:lang w:val="en-GB"/>
        </w:rPr>
        <w:t>jusqu’à</w:t>
      </w:r>
      <w:proofErr w:type="spellEnd"/>
      <w:r w:rsidRPr="00474896">
        <w:rPr>
          <w:sz w:val="22"/>
          <w:szCs w:val="22"/>
          <w:lang w:val="en-GB"/>
        </w:rPr>
        <w:t xml:space="preserve"> 200 mm</w:t>
      </w:r>
    </w:p>
    <w:p w:rsidR="009C6A85" w:rsidRPr="00474896" w:rsidRDefault="009C6A85" w:rsidP="009C6A85">
      <w:pPr>
        <w:rPr>
          <w:sz w:val="22"/>
          <w:szCs w:val="22"/>
          <w:lang w:val="en-GB"/>
        </w:rPr>
      </w:pPr>
      <w:r w:rsidRPr="00474896">
        <w:rPr>
          <w:sz w:val="22"/>
          <w:szCs w:val="22"/>
          <w:lang w:val="en-GB"/>
        </w:rPr>
        <w:tab/>
      </w:r>
      <w:r w:rsidRPr="00474896">
        <w:rPr>
          <w:sz w:val="22"/>
          <w:szCs w:val="22"/>
          <w:lang w:val="en-GB"/>
        </w:rPr>
        <w:tab/>
        <w:t xml:space="preserve">S 4c </w:t>
      </w:r>
      <w:proofErr w:type="spellStart"/>
      <w:r w:rsidRPr="00474896">
        <w:rPr>
          <w:sz w:val="22"/>
          <w:szCs w:val="22"/>
          <w:lang w:val="en-GB"/>
        </w:rPr>
        <w:t>jusqu’à</w:t>
      </w:r>
      <w:proofErr w:type="spellEnd"/>
      <w:r w:rsidRPr="00474896">
        <w:rPr>
          <w:sz w:val="22"/>
          <w:szCs w:val="22"/>
          <w:lang w:val="en-GB"/>
        </w:rPr>
        <w:t xml:space="preserve"> 300 mm</w:t>
      </w:r>
    </w:p>
    <w:p w:rsidR="009C6A85" w:rsidRPr="00435123" w:rsidRDefault="009C6A85" w:rsidP="009C6A85">
      <w:pPr>
        <w:rPr>
          <w:sz w:val="22"/>
          <w:szCs w:val="22"/>
        </w:rPr>
      </w:pPr>
      <w:r w:rsidRPr="00474896">
        <w:rPr>
          <w:sz w:val="22"/>
          <w:szCs w:val="22"/>
          <w:lang w:val="en-GB"/>
        </w:rPr>
        <w:tab/>
      </w:r>
      <w:r w:rsidRPr="00474896">
        <w:rPr>
          <w:sz w:val="22"/>
          <w:szCs w:val="22"/>
          <w:lang w:val="en-GB"/>
        </w:rPr>
        <w:tab/>
      </w:r>
      <w:r w:rsidRPr="00435123">
        <w:rPr>
          <w:sz w:val="22"/>
          <w:szCs w:val="22"/>
        </w:rPr>
        <w:t>S 4d jusqu’à 500 mm</w:t>
      </w:r>
    </w:p>
    <w:p w:rsidR="009C6A85" w:rsidRPr="00435123" w:rsidRDefault="009C6A85" w:rsidP="009C6A85">
      <w:pPr>
        <w:rPr>
          <w:sz w:val="22"/>
          <w:szCs w:val="22"/>
        </w:rPr>
      </w:pPr>
    </w:p>
    <w:p w:rsidR="009C6A85" w:rsidRPr="00435123" w:rsidRDefault="009C6A85" w:rsidP="009C6A85">
      <w:pPr>
        <w:widowControl w:val="0"/>
        <w:ind w:left="1440" w:firstLine="720"/>
        <w:rPr>
          <w:rFonts w:ascii="Arial" w:hAnsi="Arial" w:cs="Arial"/>
          <w:snapToGrid w:val="0"/>
          <w:sz w:val="22"/>
          <w:szCs w:val="22"/>
        </w:rPr>
      </w:pPr>
    </w:p>
    <w:p w:rsidR="009C6A85" w:rsidRDefault="009C6A85" w:rsidP="009C6A85"/>
    <w:p w:rsidR="009C6A85" w:rsidRDefault="009C6A85" w:rsidP="009C6A85"/>
    <w:p w:rsidR="009C6A85" w:rsidRPr="001E774D" w:rsidRDefault="009C6A85" w:rsidP="009C6A85">
      <w:pPr>
        <w:rPr>
          <w:sz w:val="16"/>
          <w:szCs w:val="16"/>
        </w:rPr>
      </w:pPr>
    </w:p>
    <w:p w:rsidR="009C6A85" w:rsidRDefault="009C6A85" w:rsidP="009C6A85"/>
    <w:p w:rsidR="009C6A85" w:rsidRPr="00540CFC" w:rsidRDefault="009C6A85" w:rsidP="00EA653B">
      <w:pPr>
        <w:rPr>
          <w:sz w:val="22"/>
          <w:szCs w:val="22"/>
        </w:rPr>
      </w:pPr>
    </w:p>
    <w:sectPr w:rsidR="009C6A85" w:rsidRPr="00540CFC" w:rsidSect="00EA653B">
      <w:pgSz w:w="11900" w:h="16840"/>
      <w:pgMar w:top="1134"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003ED"/>
    <w:multiLevelType w:val="hybridMultilevel"/>
    <w:tmpl w:val="ECB814E0"/>
    <w:lvl w:ilvl="0" w:tplc="7E0E8154">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4067DA4"/>
    <w:multiLevelType w:val="hybridMultilevel"/>
    <w:tmpl w:val="94DA1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832261F"/>
    <w:multiLevelType w:val="hybridMultilevel"/>
    <w:tmpl w:val="94DA1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2A65EB6"/>
    <w:multiLevelType w:val="hybridMultilevel"/>
    <w:tmpl w:val="94DA1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7644CA0"/>
    <w:multiLevelType w:val="hybridMultilevel"/>
    <w:tmpl w:val="94DA1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7C43D3B"/>
    <w:multiLevelType w:val="hybridMultilevel"/>
    <w:tmpl w:val="94DA1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96C549B"/>
    <w:multiLevelType w:val="hybridMultilevel"/>
    <w:tmpl w:val="94DA1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30365C"/>
    <w:rsid w:val="00137D87"/>
    <w:rsid w:val="001716C5"/>
    <w:rsid w:val="0030365C"/>
    <w:rsid w:val="0040781A"/>
    <w:rsid w:val="00474896"/>
    <w:rsid w:val="00540CFC"/>
    <w:rsid w:val="00935978"/>
    <w:rsid w:val="009C6A85"/>
    <w:rsid w:val="00AC35F0"/>
    <w:rsid w:val="00B76A04"/>
    <w:rsid w:val="00DA3A76"/>
    <w:rsid w:val="00DF0C15"/>
    <w:rsid w:val="00EA653B"/>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A0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30365C"/>
    <w:rPr>
      <w:color w:val="0000FF"/>
      <w:u w:val="single"/>
    </w:rPr>
  </w:style>
  <w:style w:type="paragraph" w:styleId="Sprechblasentext">
    <w:name w:val="Balloon Text"/>
    <w:basedOn w:val="Standard"/>
    <w:link w:val="SprechblasentextZchn"/>
    <w:uiPriority w:val="99"/>
    <w:semiHidden/>
    <w:unhideWhenUsed/>
    <w:rsid w:val="0030365C"/>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0365C"/>
    <w:rPr>
      <w:rFonts w:ascii="Lucida Grande" w:hAnsi="Lucida Grande"/>
      <w:sz w:val="18"/>
      <w:szCs w:val="18"/>
    </w:rPr>
  </w:style>
  <w:style w:type="paragraph" w:styleId="Listenabsatz">
    <w:name w:val="List Paragraph"/>
    <w:basedOn w:val="Standard"/>
    <w:uiPriority w:val="34"/>
    <w:qFormat/>
    <w:rsid w:val="00EA653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30365C"/>
    <w:rPr>
      <w:color w:val="0000FF"/>
      <w:u w:val="single"/>
    </w:rPr>
  </w:style>
  <w:style w:type="paragraph" w:styleId="Textedebulles">
    <w:name w:val="Balloon Text"/>
    <w:basedOn w:val="Normal"/>
    <w:link w:val="TextedebullesCar"/>
    <w:uiPriority w:val="99"/>
    <w:semiHidden/>
    <w:unhideWhenUsed/>
    <w:rsid w:val="0030365C"/>
    <w:rPr>
      <w:rFonts w:ascii="Lucida Grande" w:hAnsi="Lucida Grande"/>
      <w:sz w:val="18"/>
      <w:szCs w:val="18"/>
    </w:rPr>
  </w:style>
  <w:style w:type="character" w:customStyle="1" w:styleId="TextedebullesCar">
    <w:name w:val="Texte de bulles Car"/>
    <w:basedOn w:val="Policepardfaut"/>
    <w:link w:val="Textedebulles"/>
    <w:uiPriority w:val="99"/>
    <w:semiHidden/>
    <w:rsid w:val="0030365C"/>
    <w:rPr>
      <w:rFonts w:ascii="Lucida Grande" w:hAnsi="Lucida Grande"/>
      <w:sz w:val="18"/>
      <w:szCs w:val="18"/>
    </w:rPr>
  </w:style>
  <w:style w:type="paragraph" w:styleId="Paragraphedeliste">
    <w:name w:val="List Paragraph"/>
    <w:basedOn w:val="Normal"/>
    <w:uiPriority w:val="34"/>
    <w:qFormat/>
    <w:rsid w:val="00EA653B"/>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1817</Words>
  <Characters>11449</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Faszl GmbH</Company>
  <LinksUpToDate>false</LinksUpToDate>
  <CharactersWithSpaces>13240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corry</dc:creator>
  <cp:keywords/>
  <dc:description/>
  <cp:lastModifiedBy>Stefanie Predl</cp:lastModifiedBy>
  <cp:revision>7</cp:revision>
  <dcterms:created xsi:type="dcterms:W3CDTF">2016-08-09T06:59:00Z</dcterms:created>
  <dcterms:modified xsi:type="dcterms:W3CDTF">2016-08-10T05:32:00Z</dcterms:modified>
</cp:coreProperties>
</file>